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4E228">
      <w:pPr>
        <w:pStyle w:val="13"/>
        <w:spacing w:after="435"/>
      </w:pPr>
      <w:r>
        <w:rPr>
          <w:rFonts w:hint="eastAsia"/>
        </w:rPr>
        <w:t>武汉工商学院202</w:t>
      </w:r>
      <w:r>
        <w:t>5</w:t>
      </w:r>
      <w:r>
        <w:rPr>
          <w:rFonts w:hint="eastAsia"/>
        </w:rPr>
        <w:t>年度二级单位目标管理考核办法</w:t>
      </w:r>
    </w:p>
    <w:p w14:paraId="0D05040F">
      <w:pPr>
        <w:ind w:firstLine="640"/>
      </w:pPr>
      <w:r>
        <w:rPr>
          <w:rFonts w:hint="eastAsia"/>
        </w:rPr>
        <w:t>根据《武汉工商学院2</w:t>
      </w:r>
      <w:r>
        <w:t>025</w:t>
      </w:r>
      <w:r>
        <w:rPr>
          <w:rFonts w:hint="eastAsia"/>
        </w:rPr>
        <w:t>年绩效考核办法》（武工商董〔202</w:t>
      </w:r>
      <w:r>
        <w:t>5</w:t>
      </w:r>
      <w:r>
        <w:rPr>
          <w:rFonts w:hint="eastAsia"/>
        </w:rPr>
        <w:t>〕</w:t>
      </w:r>
      <w:r>
        <w:t>1</w:t>
      </w:r>
      <w:r>
        <w:rPr>
          <w:rFonts w:hint="eastAsia"/>
        </w:rPr>
        <w:t>号），结合学校“十四五”规划、审核评估工作、202</w:t>
      </w:r>
      <w:r>
        <w:t>5</w:t>
      </w:r>
      <w:r>
        <w:rPr>
          <w:rFonts w:hint="eastAsia"/>
        </w:rPr>
        <w:t>年学校目标管理主要量化指标及工作要点，制定本办法。</w:t>
      </w:r>
    </w:p>
    <w:p w14:paraId="147959AA">
      <w:pPr>
        <w:pStyle w:val="2"/>
        <w:numPr>
          <w:numId w:val="0"/>
        </w:numPr>
        <w:ind w:firstLine="640" w:firstLineChars="200"/>
      </w:pPr>
      <w:r>
        <w:rPr>
          <w:rFonts w:hint="eastAsia" w:ascii="黑体" w:eastAsia="黑体" w:hAnsiTheme="minorHAnsi" w:cstheme="minorBidi"/>
          <w:bCs/>
          <w:kern w:val="44"/>
          <w:sz w:val="32"/>
          <w:szCs w:val="44"/>
          <w:lang w:val="en-US" w:eastAsia="zh-CN" w:bidi="ar-SA"/>
        </w:rPr>
        <w:t>一、</w:t>
      </w:r>
      <w:r>
        <w:rPr>
          <w:rFonts w:hint="eastAsia"/>
        </w:rPr>
        <w:t>指导思想</w:t>
      </w:r>
    </w:p>
    <w:p w14:paraId="0E719AAA">
      <w:pPr>
        <w:ind w:firstLine="640"/>
      </w:pPr>
      <w:r>
        <w:rPr>
          <w:rFonts w:hint="eastAsia"/>
        </w:rPr>
        <w:t>突出激励导向，充分调动二级单位工作的主动性和创造性；突出结果导向，加大标志性成果奖励；突出个性导向，彰显个性特色。加强考核过程管理，构建目标明确、分类评价、预算保障、动态调整、绩效激励、激发活力的管理机制。</w:t>
      </w:r>
    </w:p>
    <w:p w14:paraId="37471F4F">
      <w:pPr>
        <w:pStyle w:val="2"/>
        <w:numPr>
          <w:numId w:val="0"/>
        </w:numPr>
        <w:ind w:firstLine="640" w:firstLineChars="200"/>
      </w:pPr>
      <w:r>
        <w:rPr>
          <w:rFonts w:hint="eastAsia" w:ascii="黑体" w:eastAsia="黑体" w:hAnsiTheme="minorHAnsi" w:cstheme="minorBidi"/>
          <w:bCs/>
          <w:kern w:val="44"/>
          <w:sz w:val="32"/>
          <w:szCs w:val="44"/>
          <w:lang w:val="en-US" w:eastAsia="zh-CN" w:bidi="ar-SA"/>
        </w:rPr>
        <w:t>二、</w:t>
      </w:r>
      <w:r>
        <w:rPr>
          <w:rFonts w:hint="eastAsia"/>
        </w:rPr>
        <w:t>考核原则</w:t>
      </w:r>
    </w:p>
    <w:p w14:paraId="3E88F257">
      <w:pPr>
        <w:ind w:firstLine="640"/>
      </w:pPr>
      <w:r>
        <w:rPr>
          <w:rFonts w:hint="eastAsia"/>
        </w:rPr>
        <w:t>1</w:t>
      </w:r>
      <w:r>
        <w:t>.</w:t>
      </w:r>
      <w:r>
        <w:rPr>
          <w:rFonts w:hint="eastAsia"/>
          <w:lang w:val="en-US" w:eastAsia="zh-CN"/>
        </w:rPr>
        <w:t xml:space="preserve"> </w:t>
      </w:r>
      <w:r>
        <w:rPr>
          <w:rFonts w:hint="eastAsia"/>
        </w:rPr>
        <w:t>目标导向原则：明确年度工作目标，实施考核过程管理，逐层分解二级单位工作目标，形成指向一致、环环相扣的目标链。</w:t>
      </w:r>
    </w:p>
    <w:p w14:paraId="26C5C8E0">
      <w:pPr>
        <w:ind w:firstLine="640"/>
      </w:pPr>
      <w:r>
        <w:rPr>
          <w:rFonts w:hint="eastAsia"/>
        </w:rPr>
        <w:t>2</w:t>
      </w:r>
      <w:r>
        <w:t>.</w:t>
      </w:r>
      <w:r>
        <w:rPr>
          <w:rFonts w:hint="eastAsia"/>
          <w:lang w:val="en-US" w:eastAsia="zh-CN"/>
        </w:rPr>
        <w:t xml:space="preserve"> </w:t>
      </w:r>
      <w:r>
        <w:rPr>
          <w:rFonts w:hint="eastAsia"/>
        </w:rPr>
        <w:t>协调发展原则：核心指标和基础指标相互结合，刚性目标与弹性目标相互协调，可及性目标与伸展性目标相互兼容，阶段性目标与持续性目标相互统一。</w:t>
      </w:r>
    </w:p>
    <w:p w14:paraId="0CB807FA">
      <w:pPr>
        <w:ind w:firstLine="640"/>
      </w:pPr>
      <w:r>
        <w:rPr>
          <w:rFonts w:hint="eastAsia"/>
        </w:rPr>
        <w:t>3</w:t>
      </w:r>
      <w:r>
        <w:t>.</w:t>
      </w:r>
      <w:r>
        <w:rPr>
          <w:rFonts w:hint="eastAsia"/>
          <w:lang w:val="en-US" w:eastAsia="zh-CN"/>
        </w:rPr>
        <w:t xml:space="preserve"> </w:t>
      </w:r>
      <w:r>
        <w:rPr>
          <w:rFonts w:hint="eastAsia"/>
        </w:rPr>
        <w:t>指标联动原则：如指标涉及多个二级单位，应对主要相关联的二级单位设置联动指标，即主要关联的二级单位均应将该指标纳入目标考核体系。</w:t>
      </w:r>
    </w:p>
    <w:p w14:paraId="0B16CA0E">
      <w:pPr>
        <w:ind w:firstLine="640"/>
      </w:pPr>
      <w:r>
        <w:t>4.</w:t>
      </w:r>
      <w:r>
        <w:rPr>
          <w:rFonts w:hint="eastAsia"/>
          <w:lang w:val="en-US" w:eastAsia="zh-CN"/>
        </w:rPr>
        <w:t xml:space="preserve"> </w:t>
      </w:r>
      <w:r>
        <w:rPr>
          <w:rFonts w:hint="eastAsia"/>
        </w:rPr>
        <w:t>关键业绩指标原则：绩效评价和分析主要关注关键业绩指标（KPI）。指标制定遵循客观、量化、可考原则。建立“KPI绩效+专项+负面清单”的考核指标体系。</w:t>
      </w:r>
    </w:p>
    <w:p w14:paraId="04523276">
      <w:pPr>
        <w:ind w:firstLine="640"/>
      </w:pPr>
      <w:r>
        <w:rPr>
          <w:rFonts w:hint="eastAsia"/>
        </w:rPr>
        <w:t>5.</w:t>
      </w:r>
      <w:r>
        <w:rPr>
          <w:rFonts w:hint="eastAsia"/>
          <w:lang w:val="en-US" w:eastAsia="zh-CN"/>
        </w:rPr>
        <w:t xml:space="preserve"> </w:t>
      </w:r>
      <w:r>
        <w:rPr>
          <w:rFonts w:hint="eastAsia"/>
        </w:rPr>
        <w:t>增量导向激励原则：指标的制定以增量为导向，鼓励引导重大标志性成果产出。</w:t>
      </w:r>
    </w:p>
    <w:p w14:paraId="60669542">
      <w:pPr>
        <w:ind w:firstLine="640"/>
      </w:pPr>
      <w:r>
        <w:rPr>
          <w:rFonts w:hint="eastAsia"/>
        </w:rPr>
        <w:t>6.</w:t>
      </w:r>
      <w:r>
        <w:rPr>
          <w:rFonts w:hint="eastAsia"/>
          <w:lang w:val="en-US" w:eastAsia="zh-CN"/>
        </w:rPr>
        <w:t xml:space="preserve"> </w:t>
      </w:r>
      <w:r>
        <w:rPr>
          <w:rFonts w:hint="eastAsia"/>
        </w:rPr>
        <w:t>激励与淘汰结合原则：突出注重“贡献和实绩”考核评价指挥棒的“正向引导”作用，同时建立升降淘汰机制。</w:t>
      </w:r>
    </w:p>
    <w:p w14:paraId="5A78EE40">
      <w:pPr>
        <w:pStyle w:val="2"/>
        <w:numPr>
          <w:numId w:val="0"/>
        </w:numPr>
        <w:ind w:firstLine="640" w:firstLineChars="200"/>
      </w:pPr>
      <w:r>
        <w:rPr>
          <w:rFonts w:hint="eastAsia" w:ascii="黑体" w:eastAsia="黑体" w:hAnsiTheme="minorHAnsi" w:cstheme="minorBidi"/>
          <w:bCs/>
          <w:kern w:val="44"/>
          <w:sz w:val="32"/>
          <w:szCs w:val="44"/>
          <w:lang w:val="en-US" w:eastAsia="zh-CN" w:bidi="ar-SA"/>
        </w:rPr>
        <w:t>三、</w:t>
      </w:r>
      <w:r>
        <w:rPr>
          <w:rFonts w:hint="eastAsia"/>
        </w:rPr>
        <w:t>组织机构</w:t>
      </w:r>
    </w:p>
    <w:p w14:paraId="6C58EEF4">
      <w:pPr>
        <w:ind w:firstLine="640"/>
      </w:pPr>
      <w:r>
        <w:rPr>
          <w:rFonts w:hint="eastAsia"/>
        </w:rPr>
        <w:t>学校成立绩效考核办公室（设在人力资源部），主要负责牵头制定有关目标管理的政策、方针，协调、下达和调整目标，组织具体考核工作。</w:t>
      </w:r>
    </w:p>
    <w:p w14:paraId="2AD40173">
      <w:pPr>
        <w:ind w:firstLine="640"/>
      </w:pPr>
      <w:r>
        <w:rPr>
          <w:rFonts w:hint="eastAsia"/>
        </w:rPr>
        <w:t>组建“绩效考核专班”，其职责：明确学校年度主要工作的目标任务；审定二级单位目标管理与考核办法；对目标管理运行中出现的问题及时进行处理；审定教职工考核实施方案；审定各类考核结果。“绩效考核专班”由董事会代表、校务会代表和校外专家等组成。</w:t>
      </w:r>
    </w:p>
    <w:p w14:paraId="22486787">
      <w:pPr>
        <w:pStyle w:val="2"/>
        <w:numPr>
          <w:numId w:val="0"/>
        </w:numPr>
        <w:ind w:firstLine="640" w:firstLineChars="200"/>
      </w:pPr>
      <w:r>
        <w:rPr>
          <w:rFonts w:hint="eastAsia" w:ascii="黑体" w:eastAsia="黑体" w:hAnsiTheme="minorHAnsi" w:cstheme="minorBidi"/>
          <w:bCs/>
          <w:kern w:val="44"/>
          <w:sz w:val="32"/>
          <w:szCs w:val="44"/>
          <w:lang w:val="en-US" w:eastAsia="zh-CN" w:bidi="ar-SA"/>
        </w:rPr>
        <w:t>四、</w:t>
      </w:r>
      <w:r>
        <w:rPr>
          <w:rFonts w:hint="eastAsia"/>
        </w:rPr>
        <w:t>考核内容和评价</w:t>
      </w:r>
    </w:p>
    <w:p w14:paraId="4EB87C36">
      <w:pPr>
        <w:pStyle w:val="3"/>
        <w:numPr>
          <w:numId w:val="0"/>
        </w:numPr>
        <w:ind w:firstLine="643" w:firstLineChars="200"/>
        <w:rPr>
          <w:rFonts w:hint="eastAsia" w:hAnsi="楷体_GB2312" w:cs="楷体_GB2312"/>
          <w:color w:val="auto"/>
        </w:rPr>
      </w:pPr>
      <w:r>
        <w:rPr>
          <w:rFonts w:hint="eastAsia" w:ascii="楷体_GB2312" w:hAnsi="楷体_GB2312" w:eastAsia="楷体_GB2312" w:cs="楷体_GB2312"/>
          <w:b/>
          <w:bCs/>
          <w:color w:val="auto"/>
          <w:kern w:val="2"/>
          <w:sz w:val="32"/>
          <w:szCs w:val="32"/>
          <w:lang w:val="en-US" w:eastAsia="zh-CN" w:bidi="ar-SA"/>
        </w:rPr>
        <w:t>（一）</w:t>
      </w:r>
      <w:r>
        <w:rPr>
          <w:rFonts w:hint="eastAsia"/>
          <w:color w:val="auto"/>
        </w:rPr>
        <w:t>学校考核指标体系构成</w:t>
      </w:r>
    </w:p>
    <w:p w14:paraId="1681F91D">
      <w:pPr>
        <w:pStyle w:val="4"/>
        <w:keepNext w:val="0"/>
        <w:keepLines w:val="0"/>
        <w:numPr>
          <w:numId w:val="0"/>
        </w:numPr>
        <w:ind w:firstLine="643"/>
      </w:pPr>
      <w:r>
        <w:rPr>
          <w:rFonts w:hint="eastAsia" w:ascii="仿宋_GB2312" w:eastAsia="仿宋_GB2312" w:hAnsiTheme="minorHAnsi" w:cstheme="minorBidi"/>
          <w:b/>
          <w:bCs/>
          <w:kern w:val="2"/>
          <w:sz w:val="32"/>
          <w:szCs w:val="32"/>
          <w:lang w:val="en-US" w:eastAsia="zh-CN" w:bidi="ar-SA"/>
        </w:rPr>
        <w:t>1.</w:t>
      </w:r>
      <w:r>
        <w:rPr>
          <w:rFonts w:hint="eastAsia" w:cstheme="minorBidi"/>
          <w:b/>
          <w:bCs/>
          <w:kern w:val="2"/>
          <w:sz w:val="32"/>
          <w:szCs w:val="32"/>
          <w:lang w:val="en-US" w:eastAsia="zh-CN" w:bidi="ar-SA"/>
        </w:rPr>
        <w:t xml:space="preserve"> </w:t>
      </w:r>
      <w:r>
        <w:rPr>
          <w:rFonts w:hint="eastAsia"/>
        </w:rPr>
        <w:t>学校KPI指标</w:t>
      </w:r>
    </w:p>
    <w:p w14:paraId="133E8AAE">
      <w:pPr>
        <w:ind w:firstLine="640"/>
      </w:pPr>
      <w:bookmarkStart w:id="0" w:name="_Hlk123930846"/>
      <w:r>
        <w:rPr>
          <w:rFonts w:hint="eastAsia"/>
        </w:rPr>
        <w:t>学校KPI指标</w:t>
      </w:r>
      <w:bookmarkEnd w:id="0"/>
      <w:r>
        <w:rPr>
          <w:rFonts w:hint="eastAsia"/>
        </w:rPr>
        <w:t>体系制定原则：学校结合审核评估、“十四五”规划目标制定统一的关键核心考核指标，围绕人才培养和科学研究等核心指标，包括但不限于招生排名、招生规模、英语四级通过率、升学率、新生报到率、综合缴费率、教学奖项、科研奖项、科研项目、科研经费、社会服务及转化、科研论文、师资建设、学生创新创业与就业等多项具体量化指标。定量指标原则上客观、可考，定量指标以最近1—2年指标为基数，以年增长量、率测算。原则上董事会、校务会指标权重设置应偏高。</w:t>
      </w:r>
    </w:p>
    <w:p w14:paraId="615AF114">
      <w:pPr>
        <w:pStyle w:val="4"/>
        <w:keepNext w:val="0"/>
        <w:keepLines w:val="0"/>
        <w:numPr>
          <w:ilvl w:val="0"/>
          <w:numId w:val="2"/>
        </w:numPr>
        <w:ind w:firstLine="643"/>
      </w:pPr>
      <w:r>
        <w:rPr>
          <w:rFonts w:hint="eastAsia"/>
        </w:rPr>
        <w:t>职能部门KPI指标</w:t>
      </w:r>
    </w:p>
    <w:p w14:paraId="78DF6B1F">
      <w:pPr>
        <w:ind w:firstLine="640"/>
      </w:pPr>
      <w:r>
        <w:rPr>
          <w:rFonts w:hint="eastAsia"/>
        </w:rPr>
        <w:t>职能部门KPI指标主要</w:t>
      </w:r>
      <w:bookmarkStart w:id="1" w:name="OLE_LINK6"/>
      <w:r>
        <w:rPr>
          <w:rFonts w:hint="eastAsia"/>
        </w:rPr>
        <w:t>依据其部门岗位职责，并参照</w:t>
      </w:r>
      <w:bookmarkEnd w:id="1"/>
      <w:r>
        <w:rPr>
          <w:rFonts w:hint="eastAsia"/>
        </w:rPr>
        <w:t>学校KPI指标及考核办法、审核评估建设和“十四五”规划目标等制定。</w:t>
      </w:r>
    </w:p>
    <w:p w14:paraId="2E1D82D1">
      <w:pPr>
        <w:pStyle w:val="4"/>
        <w:keepNext w:val="0"/>
        <w:keepLines w:val="0"/>
        <w:numPr>
          <w:ilvl w:val="0"/>
          <w:numId w:val="2"/>
        </w:numPr>
        <w:ind w:firstLine="643" w:firstLineChars="200"/>
      </w:pPr>
      <w:r>
        <w:rPr>
          <w:rFonts w:hint="eastAsia"/>
        </w:rPr>
        <w:t>二级学院（部）KPI指标</w:t>
      </w:r>
    </w:p>
    <w:p w14:paraId="3D305DD3">
      <w:pPr>
        <w:ind w:firstLine="640"/>
        <w:rPr>
          <w:rFonts w:hint="eastAsia" w:hAnsi="仿宋_GB2312" w:cs="仿宋_GB2312"/>
        </w:rPr>
      </w:pPr>
      <w:r>
        <w:rPr>
          <w:rFonts w:hint="eastAsia"/>
        </w:rPr>
        <w:t>二级院（部）考核指标主要依据教学、科研、招生、社会服务、师资、学生创新创业与就业、党建与学生工作，并由相关职能（直属）部门主要根据学校KPI指标、</w:t>
      </w:r>
      <w:r>
        <w:rPr>
          <w:rFonts w:hint="eastAsia" w:hAnsi="仿宋_GB2312" w:cs="仿宋_GB2312"/>
        </w:rPr>
        <w:t>审核评估建设和“十四五”规划目标</w:t>
      </w:r>
      <w:r>
        <w:rPr>
          <w:rFonts w:hint="eastAsia"/>
        </w:rPr>
        <w:t>等，制定分解指标。</w:t>
      </w:r>
    </w:p>
    <w:p w14:paraId="038C2F96">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（二）</w:t>
      </w:r>
      <w:r>
        <w:rPr>
          <w:rFonts w:hint="eastAsia"/>
          <w:color w:val="auto"/>
        </w:rPr>
        <w:t>职能（直属）部门考核内容</w:t>
      </w:r>
    </w:p>
    <w:p w14:paraId="340A4F5B">
      <w:pPr>
        <w:pStyle w:val="4"/>
        <w:keepNext w:val="0"/>
        <w:keepLines w:val="0"/>
        <w:numPr>
          <w:numId w:val="0"/>
        </w:numPr>
        <w:ind w:firstLine="643"/>
      </w:pPr>
      <w:r>
        <w:rPr>
          <w:rFonts w:hint="eastAsia" w:ascii="仿宋_GB2312" w:eastAsia="仿宋_GB2312" w:hAnsiTheme="minorHAnsi" w:cstheme="minorBidi"/>
          <w:b/>
          <w:bCs/>
          <w:kern w:val="2"/>
          <w:sz w:val="32"/>
          <w:szCs w:val="32"/>
          <w:lang w:val="en-US" w:eastAsia="zh-CN" w:bidi="ar-SA"/>
        </w:rPr>
        <w:t>1.</w:t>
      </w:r>
      <w:r>
        <w:rPr>
          <w:rFonts w:hint="eastAsia" w:cstheme="minorBidi"/>
          <w:b/>
          <w:bCs/>
          <w:kern w:val="2"/>
          <w:sz w:val="32"/>
          <w:szCs w:val="32"/>
          <w:lang w:val="en-US" w:eastAsia="zh-CN" w:bidi="ar-SA"/>
        </w:rPr>
        <w:t xml:space="preserve"> </w:t>
      </w:r>
      <w:r>
        <w:rPr>
          <w:rFonts w:hint="eastAsia"/>
        </w:rPr>
        <w:t>职能（直属）部门考核</w:t>
      </w:r>
    </w:p>
    <w:p w14:paraId="0A9322F0">
      <w:pPr>
        <w:ind w:firstLine="640"/>
      </w:pPr>
      <w:r>
        <w:rPr>
          <w:rFonts w:hint="eastAsia"/>
        </w:rPr>
        <w:t>职能（直属）部门考核以目标任务书评分为准。</w:t>
      </w:r>
    </w:p>
    <w:p w14:paraId="49B0129A">
      <w:pPr>
        <w:ind w:firstLine="640"/>
        <w:rPr>
          <w:rFonts w:hint="eastAsia" w:ascii="仿宋" w:hAnsi="仿宋" w:eastAsia="仿宋"/>
        </w:rPr>
      </w:pPr>
      <w:r>
        <w:rPr>
          <w:rFonts w:hint="eastAsia"/>
        </w:rPr>
        <w:t>目标任务书主要依据其部门岗位职责，并参照学校KPI指标及考核办法、</w:t>
      </w:r>
      <w:r>
        <w:rPr>
          <w:rFonts w:hint="eastAsia" w:hAnsi="仿宋_GB2312" w:cs="仿宋_GB2312"/>
        </w:rPr>
        <w:t>审核评估建设和“十四五”规划目标</w:t>
      </w:r>
      <w:r>
        <w:rPr>
          <w:rFonts w:hint="eastAsia"/>
        </w:rPr>
        <w:t>等制定目标任务，分值100分。突出核心指标，核心指标占比原则上不低于70%（原则上以定量为主），基础指标占比不高于30%。定量指标和定性指标均要设置工作质量方面的评价标准。</w:t>
      </w:r>
      <w:r>
        <w:t>审核评估工作</w:t>
      </w:r>
      <w:r>
        <w:rPr>
          <w:rFonts w:hint="eastAsia"/>
        </w:rPr>
        <w:t>考核</w:t>
      </w:r>
      <w:r>
        <w:t>具体指标和权重按照评建办整改任务和相关要求设置</w:t>
      </w:r>
      <w:r>
        <w:rPr>
          <w:rFonts w:hint="eastAsia"/>
        </w:rPr>
        <w:t>，评建办负责审核。</w:t>
      </w:r>
    </w:p>
    <w:p w14:paraId="02C66761">
      <w:pPr>
        <w:pStyle w:val="4"/>
        <w:keepNext w:val="0"/>
        <w:keepLines w:val="0"/>
        <w:numPr>
          <w:ilvl w:val="0"/>
          <w:numId w:val="3"/>
        </w:numPr>
        <w:ind w:firstLine="643"/>
      </w:pPr>
      <w:r>
        <w:rPr>
          <w:rFonts w:hint="eastAsia"/>
        </w:rPr>
        <w:t>职能（直属）部门按照与学校KPI指标的关联度和部门性质分为三类。</w:t>
      </w:r>
    </w:p>
    <w:p w14:paraId="1078A804">
      <w:pPr>
        <w:ind w:firstLine="640"/>
      </w:pPr>
      <w:r>
        <w:rPr>
          <w:rFonts w:hint="eastAsia"/>
        </w:rPr>
        <w:t>A类：与</w:t>
      </w:r>
      <w:bookmarkStart w:id="2" w:name="_Hlk123930475"/>
      <w:r>
        <w:rPr>
          <w:rFonts w:hint="eastAsia"/>
        </w:rPr>
        <w:t>学校</w:t>
      </w:r>
      <w:bookmarkStart w:id="3" w:name="_Hlk123930389"/>
      <w:r>
        <w:rPr>
          <w:rFonts w:hint="eastAsia"/>
        </w:rPr>
        <w:t>KPI指标</w:t>
      </w:r>
      <w:bookmarkEnd w:id="2"/>
      <w:r>
        <w:rPr>
          <w:rFonts w:hint="eastAsia"/>
        </w:rPr>
        <w:t>关联度高（即主要承担学校KPI指标）的职能部门</w:t>
      </w:r>
      <w:bookmarkEnd w:id="3"/>
      <w:r>
        <w:rPr>
          <w:rFonts w:hint="eastAsia"/>
        </w:rPr>
        <w:t>。包括招生工作部、学生就业创业指导中心、教务部、科技部（研究生工作部（筹））、人力资源部、财务部、社会合作与发展部、学生工作部、国际交流与合作部、学校办公室（改革发展与政策研究办公室）等共10个部门；</w:t>
      </w:r>
    </w:p>
    <w:p w14:paraId="7FD268A2">
      <w:pPr>
        <w:ind w:firstLine="640"/>
      </w:pPr>
      <w:r>
        <w:rPr>
          <w:rFonts w:hint="eastAsia"/>
          <w:bCs/>
        </w:rPr>
        <w:t>B类：与学校KPI指标关联较小的职能部门。</w:t>
      </w:r>
      <w:r>
        <w:rPr>
          <w:rFonts w:hint="eastAsia"/>
        </w:rPr>
        <w:t>包括宣传策划部、党群工作部、后勤管理部、保卫部、教学质量监测与评估中心共</w:t>
      </w:r>
      <w:r>
        <w:t>5</w:t>
      </w:r>
      <w:r>
        <w:rPr>
          <w:rFonts w:hint="eastAsia"/>
        </w:rPr>
        <w:t>个部门；</w:t>
      </w:r>
    </w:p>
    <w:p w14:paraId="4605151F">
      <w:pPr>
        <w:ind w:firstLine="640"/>
      </w:pPr>
      <w:r>
        <w:rPr>
          <w:rFonts w:hint="eastAsia"/>
        </w:rPr>
        <w:t>C类：与学校KPI指标关联较小的教辅和挂靠部门。</w:t>
      </w:r>
      <w:r>
        <w:rPr>
          <w:rFonts w:hint="eastAsia"/>
          <w:bCs/>
        </w:rPr>
        <w:t>包括：</w:t>
      </w:r>
      <w:r>
        <w:rPr>
          <w:rFonts w:hint="eastAsia"/>
        </w:rPr>
        <w:t>信息中心、实验教学中心、图书馆、档案馆和国学院共</w:t>
      </w:r>
      <w:r>
        <w:t>5</w:t>
      </w:r>
      <w:r>
        <w:rPr>
          <w:rFonts w:hint="eastAsia"/>
        </w:rPr>
        <w:t>个部门。</w:t>
      </w:r>
    </w:p>
    <w:p w14:paraId="4C083348">
      <w:pPr>
        <w:pStyle w:val="4"/>
        <w:keepNext w:val="0"/>
        <w:keepLines w:val="0"/>
        <w:numPr>
          <w:ilvl w:val="0"/>
          <w:numId w:val="3"/>
        </w:numPr>
        <w:ind w:firstLine="643" w:firstLineChars="200"/>
        <w:rPr>
          <w:rStyle w:val="27"/>
          <w:b/>
          <w:bCs/>
        </w:rPr>
      </w:pPr>
      <w:r>
        <w:rPr>
          <w:rStyle w:val="27"/>
          <w:rFonts w:hint="eastAsia"/>
          <w:b/>
          <w:bCs/>
        </w:rPr>
        <w:t>档案馆、国学院目标任务单列考核；改革发展与政策研究办公室、数据中心、校友会基金会、研究生工作部（筹）、民办高等教育研究所考核指标纳入所属部门目标任务。</w:t>
      </w:r>
    </w:p>
    <w:p w14:paraId="71A43602">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（三）</w:t>
      </w:r>
      <w:r>
        <w:rPr>
          <w:rFonts w:hint="eastAsia"/>
          <w:color w:val="auto"/>
        </w:rPr>
        <w:t>二级院（部）</w:t>
      </w:r>
      <w:r>
        <w:rPr>
          <w:rFonts w:hint="eastAsia" w:hAnsi="楷体_GB2312" w:cs="楷体_GB2312"/>
          <w:color w:val="auto"/>
        </w:rPr>
        <w:t>考核内容</w:t>
      </w:r>
    </w:p>
    <w:p w14:paraId="43B8D74C">
      <w:pPr>
        <w:ind w:firstLine="640"/>
      </w:pPr>
      <w:r>
        <w:rPr>
          <w:rFonts w:hint="eastAsia"/>
        </w:rPr>
        <w:t>二级院（部）考核指标体系由以下版块组成，总分值为100分。各版块由相关职能（直属）部门主要根据学校KPI指标、</w:t>
      </w:r>
      <w:r>
        <w:rPr>
          <w:rFonts w:hint="eastAsia" w:hAnsi="仿宋_GB2312" w:cs="仿宋_GB2312"/>
        </w:rPr>
        <w:t>审核评估建设和“十四五”规划目标</w:t>
      </w:r>
      <w:r>
        <w:rPr>
          <w:rFonts w:hint="eastAsia"/>
        </w:rPr>
        <w:t>等，制定分解计指标，并明确指标制定依据，负责考核指标的解释说明工作。学校绩效考核专班对指标分解工作予以指导和复核。核心指标占比原则上不低于70%（原则上以定量为主），基础指标占比不高于30%。定量指标和定性指标均要设置工作质量方面的评价标准。</w:t>
      </w:r>
    </w:p>
    <w:p w14:paraId="25286018">
      <w:pPr>
        <w:ind w:firstLine="640"/>
      </w:pPr>
    </w:p>
    <w:p w14:paraId="18FB3843">
      <w:pPr>
        <w:pStyle w:val="7"/>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rPr>
        <w:t>有学生的学院各版块权重</w:t>
      </w:r>
    </w:p>
    <w:tbl>
      <w:tblPr>
        <w:tblStyle w:val="15"/>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814"/>
        <w:gridCol w:w="1056"/>
        <w:gridCol w:w="869"/>
        <w:gridCol w:w="1014"/>
        <w:gridCol w:w="725"/>
        <w:gridCol w:w="1014"/>
        <w:gridCol w:w="1025"/>
      </w:tblGrid>
      <w:tr w14:paraId="340E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8" w:type="pct"/>
            <w:vAlign w:val="center"/>
          </w:tcPr>
          <w:p w14:paraId="78AA1703">
            <w:pPr>
              <w:pStyle w:val="18"/>
              <w:adjustRightInd w:val="0"/>
            </w:pPr>
            <w:r>
              <w:rPr>
                <w:rFonts w:hint="eastAsia"/>
              </w:rPr>
              <w:t>序号</w:t>
            </w:r>
          </w:p>
        </w:tc>
        <w:tc>
          <w:tcPr>
            <w:tcW w:w="1115" w:type="pct"/>
            <w:vAlign w:val="center"/>
          </w:tcPr>
          <w:p w14:paraId="3041C288">
            <w:pPr>
              <w:pStyle w:val="18"/>
              <w:adjustRightInd w:val="0"/>
            </w:pPr>
            <w:r>
              <w:rPr>
                <w:rFonts w:hint="eastAsia"/>
              </w:rPr>
              <w:t>1</w:t>
            </w:r>
          </w:p>
        </w:tc>
        <w:tc>
          <w:tcPr>
            <w:tcW w:w="624" w:type="pct"/>
            <w:vAlign w:val="center"/>
          </w:tcPr>
          <w:p w14:paraId="65D0995F">
            <w:pPr>
              <w:pStyle w:val="18"/>
              <w:adjustRightInd w:val="0"/>
            </w:pPr>
            <w:r>
              <w:rPr>
                <w:rFonts w:hint="eastAsia"/>
              </w:rPr>
              <w:t>2</w:t>
            </w:r>
          </w:p>
        </w:tc>
        <w:tc>
          <w:tcPr>
            <w:tcW w:w="536" w:type="pct"/>
            <w:vAlign w:val="center"/>
          </w:tcPr>
          <w:p w14:paraId="0E98B3AC">
            <w:pPr>
              <w:pStyle w:val="18"/>
              <w:adjustRightInd w:val="0"/>
            </w:pPr>
            <w:r>
              <w:rPr>
                <w:rFonts w:hint="eastAsia"/>
              </w:rPr>
              <w:t>3</w:t>
            </w:r>
          </w:p>
        </w:tc>
        <w:tc>
          <w:tcPr>
            <w:tcW w:w="624" w:type="pct"/>
            <w:vAlign w:val="center"/>
          </w:tcPr>
          <w:p w14:paraId="13317F04">
            <w:pPr>
              <w:pStyle w:val="18"/>
              <w:adjustRightInd w:val="0"/>
            </w:pPr>
            <w:r>
              <w:rPr>
                <w:rFonts w:hint="eastAsia"/>
              </w:rPr>
              <w:t>4</w:t>
            </w:r>
          </w:p>
        </w:tc>
        <w:tc>
          <w:tcPr>
            <w:tcW w:w="447" w:type="pct"/>
            <w:vAlign w:val="center"/>
          </w:tcPr>
          <w:p w14:paraId="6CE27266">
            <w:pPr>
              <w:pStyle w:val="18"/>
              <w:adjustRightInd w:val="0"/>
            </w:pPr>
            <w:r>
              <w:rPr>
                <w:rFonts w:hint="eastAsia"/>
              </w:rPr>
              <w:t>5</w:t>
            </w:r>
          </w:p>
        </w:tc>
        <w:tc>
          <w:tcPr>
            <w:tcW w:w="624" w:type="pct"/>
            <w:vAlign w:val="center"/>
          </w:tcPr>
          <w:p w14:paraId="464BAADD">
            <w:pPr>
              <w:pStyle w:val="18"/>
              <w:adjustRightInd w:val="0"/>
            </w:pPr>
            <w:r>
              <w:rPr>
                <w:rFonts w:hint="eastAsia"/>
              </w:rPr>
              <w:t>6</w:t>
            </w:r>
          </w:p>
        </w:tc>
        <w:tc>
          <w:tcPr>
            <w:tcW w:w="631" w:type="pct"/>
            <w:vAlign w:val="center"/>
          </w:tcPr>
          <w:p w14:paraId="5FE6CB35">
            <w:pPr>
              <w:pStyle w:val="18"/>
              <w:adjustRightInd w:val="0"/>
            </w:pPr>
            <w:r>
              <w:rPr>
                <w:rFonts w:hint="eastAsia"/>
              </w:rPr>
              <w:t>7</w:t>
            </w:r>
          </w:p>
        </w:tc>
      </w:tr>
      <w:tr w14:paraId="0EF1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8" w:type="pct"/>
            <w:vAlign w:val="center"/>
          </w:tcPr>
          <w:p w14:paraId="2DFC9F12">
            <w:pPr>
              <w:pStyle w:val="18"/>
              <w:keepNext w:val="0"/>
              <w:adjustRightInd w:val="0"/>
            </w:pPr>
            <w:r>
              <w:rPr>
                <w:rFonts w:hint="eastAsia"/>
              </w:rPr>
              <w:t>版块</w:t>
            </w:r>
          </w:p>
        </w:tc>
        <w:tc>
          <w:tcPr>
            <w:tcW w:w="1115" w:type="pct"/>
            <w:vAlign w:val="center"/>
          </w:tcPr>
          <w:p w14:paraId="4F6F4C75">
            <w:pPr>
              <w:pStyle w:val="18"/>
              <w:keepNext w:val="0"/>
              <w:adjustRightInd w:val="0"/>
            </w:pPr>
            <w:r>
              <w:rPr>
                <w:rFonts w:hint="eastAsia"/>
              </w:rPr>
              <w:t>教学</w:t>
            </w:r>
          </w:p>
        </w:tc>
        <w:tc>
          <w:tcPr>
            <w:tcW w:w="624" w:type="pct"/>
            <w:vAlign w:val="center"/>
          </w:tcPr>
          <w:p w14:paraId="7BD4F2F3">
            <w:pPr>
              <w:pStyle w:val="18"/>
              <w:keepNext w:val="0"/>
              <w:adjustRightInd w:val="0"/>
            </w:pPr>
            <w:r>
              <w:rPr>
                <w:rFonts w:hint="eastAsia"/>
              </w:rPr>
              <w:t>科研</w:t>
            </w:r>
          </w:p>
        </w:tc>
        <w:tc>
          <w:tcPr>
            <w:tcW w:w="536" w:type="pct"/>
            <w:vAlign w:val="center"/>
          </w:tcPr>
          <w:p w14:paraId="33795B4D">
            <w:pPr>
              <w:pStyle w:val="18"/>
              <w:keepNext w:val="0"/>
              <w:adjustRightInd w:val="0"/>
            </w:pPr>
            <w:r>
              <w:rPr>
                <w:rFonts w:hint="eastAsia"/>
              </w:rPr>
              <w:t>招生</w:t>
            </w:r>
          </w:p>
        </w:tc>
        <w:tc>
          <w:tcPr>
            <w:tcW w:w="624" w:type="pct"/>
            <w:vAlign w:val="center"/>
          </w:tcPr>
          <w:p w14:paraId="51B058BC">
            <w:pPr>
              <w:pStyle w:val="18"/>
              <w:keepNext w:val="0"/>
              <w:adjustRightInd w:val="0"/>
            </w:pPr>
            <w:r>
              <w:rPr>
                <w:rFonts w:hint="eastAsia"/>
              </w:rPr>
              <w:t>社会服务</w:t>
            </w:r>
          </w:p>
        </w:tc>
        <w:tc>
          <w:tcPr>
            <w:tcW w:w="447" w:type="pct"/>
            <w:vAlign w:val="center"/>
          </w:tcPr>
          <w:p w14:paraId="7549143D">
            <w:pPr>
              <w:pStyle w:val="18"/>
              <w:keepNext w:val="0"/>
              <w:adjustRightInd w:val="0"/>
            </w:pPr>
            <w:r>
              <w:rPr>
                <w:rFonts w:hint="eastAsia"/>
              </w:rPr>
              <w:t>师资</w:t>
            </w:r>
          </w:p>
        </w:tc>
        <w:tc>
          <w:tcPr>
            <w:tcW w:w="624" w:type="pct"/>
            <w:vAlign w:val="center"/>
          </w:tcPr>
          <w:p w14:paraId="0F9A503D">
            <w:pPr>
              <w:pStyle w:val="18"/>
              <w:keepNext w:val="0"/>
              <w:adjustRightInd w:val="0"/>
            </w:pPr>
            <w:r>
              <w:rPr>
                <w:rFonts w:hint="eastAsia"/>
              </w:rPr>
              <w:t>学生创新创业与就业</w:t>
            </w:r>
          </w:p>
        </w:tc>
        <w:tc>
          <w:tcPr>
            <w:tcW w:w="631" w:type="pct"/>
            <w:vAlign w:val="center"/>
          </w:tcPr>
          <w:p w14:paraId="2E04F32D">
            <w:pPr>
              <w:pStyle w:val="18"/>
              <w:keepNext w:val="0"/>
              <w:adjustRightInd w:val="0"/>
            </w:pPr>
            <w:r>
              <w:rPr>
                <w:rFonts w:hint="eastAsia"/>
              </w:rPr>
              <w:t>党建与学生工作</w:t>
            </w:r>
          </w:p>
        </w:tc>
      </w:tr>
      <w:tr w14:paraId="3049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98" w:type="pct"/>
            <w:vAlign w:val="center"/>
          </w:tcPr>
          <w:p w14:paraId="6EAA7604">
            <w:pPr>
              <w:pStyle w:val="18"/>
              <w:keepNext w:val="0"/>
              <w:adjustRightInd w:val="0"/>
            </w:pPr>
            <w:r>
              <w:rPr>
                <w:rFonts w:hint="eastAsia"/>
              </w:rPr>
              <w:t>权重</w:t>
            </w:r>
          </w:p>
        </w:tc>
        <w:tc>
          <w:tcPr>
            <w:tcW w:w="1115" w:type="pct"/>
            <w:vAlign w:val="center"/>
          </w:tcPr>
          <w:p w14:paraId="1C7E5903">
            <w:pPr>
              <w:pStyle w:val="18"/>
              <w:keepNext w:val="0"/>
              <w:adjustRightInd w:val="0"/>
            </w:pPr>
            <w:r>
              <w:t>30</w:t>
            </w:r>
          </w:p>
        </w:tc>
        <w:tc>
          <w:tcPr>
            <w:tcW w:w="624" w:type="pct"/>
            <w:vAlign w:val="center"/>
          </w:tcPr>
          <w:p w14:paraId="36298EC0">
            <w:pPr>
              <w:pStyle w:val="18"/>
              <w:keepNext w:val="0"/>
              <w:adjustRightInd w:val="0"/>
              <w:rPr>
                <w:b/>
                <w:bCs/>
              </w:rPr>
            </w:pPr>
            <w:r>
              <w:rPr>
                <w:rFonts w:hint="eastAsia"/>
              </w:rPr>
              <w:t>15</w:t>
            </w:r>
          </w:p>
        </w:tc>
        <w:tc>
          <w:tcPr>
            <w:tcW w:w="536" w:type="pct"/>
            <w:vAlign w:val="center"/>
          </w:tcPr>
          <w:p w14:paraId="73561A3D">
            <w:pPr>
              <w:pStyle w:val="18"/>
              <w:keepNext w:val="0"/>
              <w:adjustRightInd w:val="0"/>
            </w:pPr>
            <w:r>
              <w:rPr>
                <w:rFonts w:hint="eastAsia"/>
              </w:rPr>
              <w:t>15</w:t>
            </w:r>
          </w:p>
        </w:tc>
        <w:tc>
          <w:tcPr>
            <w:tcW w:w="624" w:type="pct"/>
            <w:vAlign w:val="center"/>
          </w:tcPr>
          <w:p w14:paraId="493982BB">
            <w:pPr>
              <w:pStyle w:val="18"/>
              <w:keepNext w:val="0"/>
              <w:adjustRightInd w:val="0"/>
            </w:pPr>
            <w:r>
              <w:t>10</w:t>
            </w:r>
          </w:p>
        </w:tc>
        <w:tc>
          <w:tcPr>
            <w:tcW w:w="447" w:type="pct"/>
            <w:vAlign w:val="center"/>
          </w:tcPr>
          <w:p w14:paraId="3E59216A">
            <w:pPr>
              <w:pStyle w:val="18"/>
              <w:keepNext w:val="0"/>
              <w:adjustRightInd w:val="0"/>
            </w:pPr>
            <w:r>
              <w:t>10</w:t>
            </w:r>
          </w:p>
        </w:tc>
        <w:tc>
          <w:tcPr>
            <w:tcW w:w="624" w:type="pct"/>
            <w:vAlign w:val="center"/>
          </w:tcPr>
          <w:p w14:paraId="7C63C568">
            <w:pPr>
              <w:pStyle w:val="18"/>
              <w:keepNext w:val="0"/>
              <w:adjustRightInd w:val="0"/>
            </w:pPr>
            <w:r>
              <w:t>10</w:t>
            </w:r>
          </w:p>
        </w:tc>
        <w:tc>
          <w:tcPr>
            <w:tcW w:w="631" w:type="pct"/>
            <w:vAlign w:val="center"/>
          </w:tcPr>
          <w:p w14:paraId="1A99282F">
            <w:pPr>
              <w:pStyle w:val="18"/>
              <w:keepNext w:val="0"/>
              <w:adjustRightInd w:val="0"/>
            </w:pPr>
            <w:r>
              <w:rPr>
                <w:rFonts w:hint="eastAsia"/>
              </w:rPr>
              <w:t>10</w:t>
            </w:r>
          </w:p>
          <w:p w14:paraId="00A7613B">
            <w:pPr>
              <w:pStyle w:val="18"/>
              <w:keepNext w:val="0"/>
              <w:adjustRightInd w:val="0"/>
            </w:pPr>
            <w:r>
              <w:rPr>
                <w:rFonts w:hint="eastAsia"/>
              </w:rPr>
              <w:t>（党建5</w:t>
            </w:r>
            <w:r>
              <w:t>%</w:t>
            </w:r>
            <w:r>
              <w:rPr>
                <w:rFonts w:hint="eastAsia"/>
              </w:rPr>
              <w:t>，学生工作5</w:t>
            </w:r>
            <w:r>
              <w:t>%</w:t>
            </w:r>
            <w:r>
              <w:rPr>
                <w:rFonts w:hint="eastAsia"/>
              </w:rPr>
              <w:t>）</w:t>
            </w:r>
          </w:p>
        </w:tc>
      </w:tr>
      <w:tr w14:paraId="49C3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398" w:type="pct"/>
            <w:vAlign w:val="center"/>
          </w:tcPr>
          <w:p w14:paraId="165F4BA9">
            <w:pPr>
              <w:pStyle w:val="18"/>
              <w:keepNext w:val="0"/>
              <w:adjustRightInd w:val="0"/>
            </w:pPr>
            <w:r>
              <w:rPr>
                <w:rFonts w:hint="eastAsia"/>
              </w:rPr>
              <w:t>责任</w:t>
            </w:r>
          </w:p>
          <w:p w14:paraId="60E6580A">
            <w:pPr>
              <w:pStyle w:val="18"/>
              <w:keepNext w:val="0"/>
              <w:adjustRightInd w:val="0"/>
            </w:pPr>
            <w:r>
              <w:rPr>
                <w:rFonts w:hint="eastAsia"/>
              </w:rPr>
              <w:t>部门</w:t>
            </w:r>
          </w:p>
        </w:tc>
        <w:tc>
          <w:tcPr>
            <w:tcW w:w="1115" w:type="pct"/>
            <w:vAlign w:val="center"/>
          </w:tcPr>
          <w:p w14:paraId="7FCC5E52">
            <w:pPr>
              <w:pStyle w:val="18"/>
              <w:keepNext w:val="0"/>
              <w:adjustRightInd w:val="0"/>
            </w:pPr>
            <w:r>
              <w:rPr>
                <w:rFonts w:hint="eastAsia"/>
              </w:rPr>
              <w:t>教务部、</w:t>
            </w:r>
          </w:p>
          <w:p w14:paraId="5E4B5A7C">
            <w:pPr>
              <w:pStyle w:val="18"/>
              <w:keepNext w:val="0"/>
              <w:adjustRightInd w:val="0"/>
            </w:pPr>
            <w:r>
              <w:rPr>
                <w:rFonts w:hint="eastAsia"/>
              </w:rPr>
              <w:t>财务部、</w:t>
            </w:r>
          </w:p>
          <w:p w14:paraId="0BDB3A11">
            <w:pPr>
              <w:pStyle w:val="18"/>
              <w:keepNext w:val="0"/>
              <w:adjustRightInd w:val="0"/>
            </w:pPr>
            <w:r>
              <w:rPr>
                <w:rFonts w:hint="eastAsia"/>
              </w:rPr>
              <w:t>实验教学中心、国际合作交流部，教学质量监测与评估中心</w:t>
            </w:r>
          </w:p>
        </w:tc>
        <w:tc>
          <w:tcPr>
            <w:tcW w:w="624" w:type="pct"/>
            <w:vAlign w:val="center"/>
          </w:tcPr>
          <w:p w14:paraId="744F4AAE">
            <w:pPr>
              <w:pStyle w:val="18"/>
              <w:keepNext w:val="0"/>
              <w:adjustRightInd w:val="0"/>
            </w:pPr>
            <w:r>
              <w:rPr>
                <w:rFonts w:hint="eastAsia"/>
              </w:rPr>
              <w:t>科技部（研究生工作部（筹））</w:t>
            </w:r>
          </w:p>
        </w:tc>
        <w:tc>
          <w:tcPr>
            <w:tcW w:w="536" w:type="pct"/>
            <w:vAlign w:val="center"/>
          </w:tcPr>
          <w:p w14:paraId="20F0F15F">
            <w:pPr>
              <w:pStyle w:val="18"/>
              <w:keepNext w:val="0"/>
              <w:adjustRightInd w:val="0"/>
            </w:pPr>
            <w:r>
              <w:rPr>
                <w:rFonts w:hint="eastAsia"/>
              </w:rPr>
              <w:t>招生工作部</w:t>
            </w:r>
          </w:p>
        </w:tc>
        <w:tc>
          <w:tcPr>
            <w:tcW w:w="624" w:type="pct"/>
            <w:vAlign w:val="center"/>
          </w:tcPr>
          <w:p w14:paraId="56687C3D">
            <w:pPr>
              <w:pStyle w:val="18"/>
              <w:keepNext w:val="0"/>
              <w:adjustRightInd w:val="0"/>
            </w:pPr>
            <w:r>
              <w:rPr>
                <w:rFonts w:hint="eastAsia"/>
              </w:rPr>
              <w:t>社会合作与发展部</w:t>
            </w:r>
          </w:p>
        </w:tc>
        <w:tc>
          <w:tcPr>
            <w:tcW w:w="447" w:type="pct"/>
            <w:vAlign w:val="center"/>
          </w:tcPr>
          <w:p w14:paraId="017308E1">
            <w:pPr>
              <w:pStyle w:val="18"/>
              <w:keepNext w:val="0"/>
              <w:adjustRightInd w:val="0"/>
            </w:pPr>
            <w:r>
              <w:rPr>
                <w:rFonts w:hint="eastAsia"/>
              </w:rPr>
              <w:t>人力资源部</w:t>
            </w:r>
          </w:p>
        </w:tc>
        <w:tc>
          <w:tcPr>
            <w:tcW w:w="624" w:type="pct"/>
            <w:vAlign w:val="center"/>
          </w:tcPr>
          <w:p w14:paraId="3528559D">
            <w:pPr>
              <w:pStyle w:val="18"/>
              <w:keepNext w:val="0"/>
              <w:adjustRightInd w:val="0"/>
            </w:pPr>
            <w:r>
              <w:rPr>
                <w:rFonts w:hint="eastAsia"/>
              </w:rPr>
              <w:t>学生就业创业指导中心</w:t>
            </w:r>
          </w:p>
        </w:tc>
        <w:tc>
          <w:tcPr>
            <w:tcW w:w="631" w:type="pct"/>
            <w:vAlign w:val="center"/>
          </w:tcPr>
          <w:p w14:paraId="67693283">
            <w:pPr>
              <w:pStyle w:val="18"/>
              <w:keepNext w:val="0"/>
              <w:adjustRightInd w:val="0"/>
            </w:pPr>
            <w:r>
              <w:rPr>
                <w:rFonts w:hint="eastAsia"/>
              </w:rPr>
              <w:t>党群工作部、学生工作部</w:t>
            </w:r>
          </w:p>
        </w:tc>
      </w:tr>
    </w:tbl>
    <w:p w14:paraId="76921659">
      <w:pPr>
        <w:ind w:firstLine="640"/>
      </w:pPr>
    </w:p>
    <w:p w14:paraId="5D70398F">
      <w:pPr>
        <w:pStyle w:val="7"/>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t xml:space="preserve"> </w:t>
      </w:r>
      <w:r>
        <w:rPr>
          <w:rFonts w:hint="eastAsia"/>
        </w:rPr>
        <w:t>无学生的学院（公共课部、马克思主义学院）各版块权重</w:t>
      </w:r>
    </w:p>
    <w:tbl>
      <w:tblPr>
        <w:tblStyle w:val="15"/>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528"/>
        <w:gridCol w:w="1273"/>
        <w:gridCol w:w="1389"/>
        <w:gridCol w:w="1297"/>
        <w:gridCol w:w="1545"/>
      </w:tblGrid>
      <w:tr w14:paraId="50C9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5" w:type="pct"/>
            <w:vAlign w:val="center"/>
          </w:tcPr>
          <w:p w14:paraId="355D0C13">
            <w:pPr>
              <w:pStyle w:val="18"/>
              <w:keepNext w:val="0"/>
              <w:adjustRightInd w:val="0"/>
            </w:pPr>
            <w:r>
              <w:rPr>
                <w:rFonts w:hint="eastAsia"/>
              </w:rPr>
              <w:t>序号</w:t>
            </w:r>
          </w:p>
        </w:tc>
        <w:tc>
          <w:tcPr>
            <w:tcW w:w="948" w:type="pct"/>
            <w:vAlign w:val="center"/>
          </w:tcPr>
          <w:p w14:paraId="4DA508AC">
            <w:pPr>
              <w:pStyle w:val="18"/>
              <w:keepNext w:val="0"/>
              <w:adjustRightInd w:val="0"/>
            </w:pPr>
            <w:r>
              <w:t>1</w:t>
            </w:r>
          </w:p>
        </w:tc>
        <w:tc>
          <w:tcPr>
            <w:tcW w:w="790" w:type="pct"/>
            <w:vAlign w:val="center"/>
          </w:tcPr>
          <w:p w14:paraId="4F4A8B2C">
            <w:pPr>
              <w:pStyle w:val="18"/>
              <w:keepNext w:val="0"/>
              <w:adjustRightInd w:val="0"/>
            </w:pPr>
            <w:r>
              <w:t>2</w:t>
            </w:r>
          </w:p>
        </w:tc>
        <w:tc>
          <w:tcPr>
            <w:tcW w:w="862" w:type="pct"/>
            <w:vAlign w:val="center"/>
          </w:tcPr>
          <w:p w14:paraId="79C9E4E8">
            <w:pPr>
              <w:pStyle w:val="18"/>
              <w:keepNext w:val="0"/>
              <w:adjustRightInd w:val="0"/>
            </w:pPr>
            <w:r>
              <w:t>3</w:t>
            </w:r>
          </w:p>
        </w:tc>
        <w:tc>
          <w:tcPr>
            <w:tcW w:w="805" w:type="pct"/>
            <w:vAlign w:val="center"/>
          </w:tcPr>
          <w:p w14:paraId="515F94E3">
            <w:pPr>
              <w:pStyle w:val="18"/>
              <w:keepNext w:val="0"/>
              <w:adjustRightInd w:val="0"/>
            </w:pPr>
            <w:r>
              <w:t>4</w:t>
            </w:r>
          </w:p>
        </w:tc>
        <w:tc>
          <w:tcPr>
            <w:tcW w:w="959" w:type="pct"/>
            <w:vAlign w:val="center"/>
          </w:tcPr>
          <w:p w14:paraId="5ADFA500">
            <w:pPr>
              <w:pStyle w:val="18"/>
              <w:keepNext w:val="0"/>
              <w:adjustRightInd w:val="0"/>
            </w:pPr>
            <w:r>
              <w:t>5</w:t>
            </w:r>
          </w:p>
        </w:tc>
      </w:tr>
      <w:tr w14:paraId="6E5C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35" w:type="pct"/>
            <w:vAlign w:val="center"/>
          </w:tcPr>
          <w:p w14:paraId="6A57762D">
            <w:pPr>
              <w:pStyle w:val="18"/>
              <w:keepNext w:val="0"/>
              <w:adjustRightInd w:val="0"/>
            </w:pPr>
            <w:r>
              <w:rPr>
                <w:rFonts w:hint="eastAsia"/>
              </w:rPr>
              <w:t>版块</w:t>
            </w:r>
          </w:p>
        </w:tc>
        <w:tc>
          <w:tcPr>
            <w:tcW w:w="948" w:type="pct"/>
            <w:vAlign w:val="center"/>
          </w:tcPr>
          <w:p w14:paraId="385D9E6D">
            <w:pPr>
              <w:pStyle w:val="18"/>
              <w:keepNext w:val="0"/>
              <w:adjustRightInd w:val="0"/>
            </w:pPr>
            <w:r>
              <w:rPr>
                <w:rFonts w:hint="eastAsia"/>
              </w:rPr>
              <w:t>教学</w:t>
            </w:r>
          </w:p>
        </w:tc>
        <w:tc>
          <w:tcPr>
            <w:tcW w:w="790" w:type="pct"/>
            <w:vAlign w:val="center"/>
          </w:tcPr>
          <w:p w14:paraId="7A937BA8">
            <w:pPr>
              <w:pStyle w:val="18"/>
              <w:keepNext w:val="0"/>
              <w:adjustRightInd w:val="0"/>
            </w:pPr>
            <w:r>
              <w:rPr>
                <w:rFonts w:hint="eastAsia"/>
              </w:rPr>
              <w:t>科研</w:t>
            </w:r>
          </w:p>
        </w:tc>
        <w:tc>
          <w:tcPr>
            <w:tcW w:w="862" w:type="pct"/>
            <w:vAlign w:val="center"/>
          </w:tcPr>
          <w:p w14:paraId="06FBE7DA">
            <w:pPr>
              <w:pStyle w:val="18"/>
              <w:keepNext w:val="0"/>
              <w:adjustRightInd w:val="0"/>
            </w:pPr>
            <w:r>
              <w:rPr>
                <w:rFonts w:hint="eastAsia"/>
              </w:rPr>
              <w:t>师资</w:t>
            </w:r>
          </w:p>
        </w:tc>
        <w:tc>
          <w:tcPr>
            <w:tcW w:w="805" w:type="pct"/>
            <w:vAlign w:val="center"/>
          </w:tcPr>
          <w:p w14:paraId="08FA4794">
            <w:pPr>
              <w:pStyle w:val="18"/>
              <w:keepNext w:val="0"/>
              <w:adjustRightInd w:val="0"/>
            </w:pPr>
            <w:r>
              <w:rPr>
                <w:rFonts w:hint="eastAsia"/>
              </w:rPr>
              <w:t>党建</w:t>
            </w:r>
          </w:p>
        </w:tc>
        <w:tc>
          <w:tcPr>
            <w:tcW w:w="959" w:type="pct"/>
            <w:vAlign w:val="center"/>
          </w:tcPr>
          <w:p w14:paraId="0498A0C8">
            <w:pPr>
              <w:pStyle w:val="18"/>
              <w:keepNext w:val="0"/>
              <w:adjustRightInd w:val="0"/>
            </w:pPr>
            <w:r>
              <w:rPr>
                <w:rFonts w:hint="eastAsia"/>
              </w:rPr>
              <w:t>社会服务</w:t>
            </w:r>
          </w:p>
        </w:tc>
      </w:tr>
      <w:tr w14:paraId="7E0C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5" w:type="pct"/>
            <w:vAlign w:val="center"/>
          </w:tcPr>
          <w:p w14:paraId="790A4647">
            <w:pPr>
              <w:pStyle w:val="18"/>
              <w:keepNext w:val="0"/>
              <w:adjustRightInd w:val="0"/>
            </w:pPr>
            <w:r>
              <w:rPr>
                <w:rFonts w:hint="eastAsia"/>
              </w:rPr>
              <w:t>权重</w:t>
            </w:r>
          </w:p>
        </w:tc>
        <w:tc>
          <w:tcPr>
            <w:tcW w:w="948" w:type="pct"/>
            <w:vAlign w:val="center"/>
          </w:tcPr>
          <w:p w14:paraId="1A3719CA">
            <w:pPr>
              <w:pStyle w:val="18"/>
              <w:keepNext w:val="0"/>
              <w:adjustRightInd w:val="0"/>
            </w:pPr>
            <w:r>
              <w:rPr>
                <w:rFonts w:hint="eastAsia"/>
              </w:rPr>
              <w:t>4</w:t>
            </w:r>
            <w:r>
              <w:t>5</w:t>
            </w:r>
          </w:p>
        </w:tc>
        <w:tc>
          <w:tcPr>
            <w:tcW w:w="790" w:type="pct"/>
            <w:vAlign w:val="center"/>
          </w:tcPr>
          <w:p w14:paraId="4EE527EF">
            <w:pPr>
              <w:pStyle w:val="18"/>
              <w:keepNext w:val="0"/>
              <w:adjustRightInd w:val="0"/>
            </w:pPr>
            <w:r>
              <w:t>20</w:t>
            </w:r>
          </w:p>
        </w:tc>
        <w:tc>
          <w:tcPr>
            <w:tcW w:w="862" w:type="pct"/>
            <w:vAlign w:val="center"/>
          </w:tcPr>
          <w:p w14:paraId="4839D597">
            <w:pPr>
              <w:pStyle w:val="18"/>
              <w:keepNext w:val="0"/>
              <w:adjustRightInd w:val="0"/>
            </w:pPr>
            <w:r>
              <w:t>15</w:t>
            </w:r>
          </w:p>
        </w:tc>
        <w:tc>
          <w:tcPr>
            <w:tcW w:w="805" w:type="pct"/>
            <w:vAlign w:val="center"/>
          </w:tcPr>
          <w:p w14:paraId="6DC3CC8E">
            <w:pPr>
              <w:pStyle w:val="18"/>
              <w:keepNext w:val="0"/>
              <w:adjustRightInd w:val="0"/>
            </w:pPr>
            <w:r>
              <w:rPr>
                <w:rFonts w:hint="eastAsia"/>
              </w:rPr>
              <w:t>10</w:t>
            </w:r>
          </w:p>
        </w:tc>
        <w:tc>
          <w:tcPr>
            <w:tcW w:w="959" w:type="pct"/>
            <w:vAlign w:val="center"/>
          </w:tcPr>
          <w:p w14:paraId="0B8B6777">
            <w:pPr>
              <w:pStyle w:val="18"/>
              <w:keepNext w:val="0"/>
              <w:adjustRightInd w:val="0"/>
            </w:pPr>
            <w:r>
              <w:t>10</w:t>
            </w:r>
          </w:p>
        </w:tc>
      </w:tr>
      <w:tr w14:paraId="13F4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35" w:type="pct"/>
            <w:vAlign w:val="center"/>
          </w:tcPr>
          <w:p w14:paraId="50224D1E">
            <w:pPr>
              <w:pStyle w:val="18"/>
              <w:keepNext w:val="0"/>
              <w:adjustRightInd w:val="0"/>
            </w:pPr>
            <w:r>
              <w:rPr>
                <w:rFonts w:hint="eastAsia"/>
              </w:rPr>
              <w:t>责任</w:t>
            </w:r>
          </w:p>
          <w:p w14:paraId="4EF558A1">
            <w:pPr>
              <w:pStyle w:val="18"/>
              <w:keepNext w:val="0"/>
              <w:adjustRightInd w:val="0"/>
            </w:pPr>
            <w:r>
              <w:rPr>
                <w:rFonts w:hint="eastAsia"/>
              </w:rPr>
              <w:t>部门</w:t>
            </w:r>
          </w:p>
        </w:tc>
        <w:tc>
          <w:tcPr>
            <w:tcW w:w="948" w:type="pct"/>
            <w:vAlign w:val="center"/>
          </w:tcPr>
          <w:p w14:paraId="3556056F">
            <w:pPr>
              <w:pStyle w:val="18"/>
              <w:keepNext w:val="0"/>
              <w:adjustRightInd w:val="0"/>
            </w:pPr>
            <w:r>
              <w:rPr>
                <w:rFonts w:hint="eastAsia"/>
              </w:rPr>
              <w:t>教务部、</w:t>
            </w:r>
          </w:p>
          <w:p w14:paraId="401B5136">
            <w:pPr>
              <w:pStyle w:val="18"/>
              <w:keepNext w:val="0"/>
              <w:adjustRightInd w:val="0"/>
            </w:pPr>
            <w:r>
              <w:rPr>
                <w:rFonts w:hint="eastAsia"/>
              </w:rPr>
              <w:t>财务部、</w:t>
            </w:r>
          </w:p>
          <w:p w14:paraId="73074EF1">
            <w:pPr>
              <w:pStyle w:val="18"/>
              <w:keepNext w:val="0"/>
              <w:adjustRightInd w:val="0"/>
            </w:pPr>
            <w:r>
              <w:rPr>
                <w:rFonts w:hint="eastAsia"/>
              </w:rPr>
              <w:t>教学质量监测与评估中心</w:t>
            </w:r>
          </w:p>
        </w:tc>
        <w:tc>
          <w:tcPr>
            <w:tcW w:w="790" w:type="pct"/>
            <w:vAlign w:val="center"/>
          </w:tcPr>
          <w:p w14:paraId="7A6C7AF1">
            <w:pPr>
              <w:pStyle w:val="18"/>
              <w:keepNext w:val="0"/>
              <w:adjustRightInd w:val="0"/>
            </w:pPr>
            <w:r>
              <w:rPr>
                <w:rFonts w:hint="eastAsia"/>
              </w:rPr>
              <w:t>科技部（研究生工作部（筹））</w:t>
            </w:r>
          </w:p>
        </w:tc>
        <w:tc>
          <w:tcPr>
            <w:tcW w:w="862" w:type="pct"/>
            <w:vAlign w:val="center"/>
          </w:tcPr>
          <w:p w14:paraId="2EB57872">
            <w:pPr>
              <w:pStyle w:val="18"/>
              <w:keepNext w:val="0"/>
              <w:adjustRightInd w:val="0"/>
            </w:pPr>
            <w:r>
              <w:rPr>
                <w:rFonts w:hint="eastAsia"/>
              </w:rPr>
              <w:t>人力资源部</w:t>
            </w:r>
          </w:p>
        </w:tc>
        <w:tc>
          <w:tcPr>
            <w:tcW w:w="805" w:type="pct"/>
            <w:vAlign w:val="center"/>
          </w:tcPr>
          <w:p w14:paraId="02DA81DD">
            <w:pPr>
              <w:pStyle w:val="18"/>
              <w:keepNext w:val="0"/>
              <w:adjustRightInd w:val="0"/>
            </w:pPr>
            <w:r>
              <w:rPr>
                <w:rFonts w:hint="eastAsia"/>
              </w:rPr>
              <w:t>党群工作部</w:t>
            </w:r>
          </w:p>
        </w:tc>
        <w:tc>
          <w:tcPr>
            <w:tcW w:w="959" w:type="pct"/>
            <w:vAlign w:val="center"/>
          </w:tcPr>
          <w:p w14:paraId="13B4A39A">
            <w:pPr>
              <w:pStyle w:val="18"/>
              <w:keepNext w:val="0"/>
              <w:adjustRightInd w:val="0"/>
            </w:pPr>
            <w:r>
              <w:rPr>
                <w:rFonts w:hint="eastAsia"/>
              </w:rPr>
              <w:t>社会合作与发展部</w:t>
            </w:r>
          </w:p>
        </w:tc>
      </w:tr>
    </w:tbl>
    <w:p w14:paraId="37393046">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（四）</w:t>
      </w:r>
      <w:r>
        <w:rPr>
          <w:rFonts w:hint="eastAsia"/>
          <w:color w:val="auto"/>
        </w:rPr>
        <w:t>加分</w:t>
      </w:r>
    </w:p>
    <w:p w14:paraId="27FDC77F">
      <w:pPr>
        <w:ind w:firstLine="640"/>
      </w:pPr>
      <w:r>
        <w:rPr>
          <w:rFonts w:hint="eastAsia"/>
        </w:rPr>
        <w:t>1</w:t>
      </w:r>
      <w:r>
        <w:t>.</w:t>
      </w:r>
      <w:r>
        <w:rPr>
          <w:rFonts w:hint="eastAsia"/>
          <w:lang w:val="en-US" w:eastAsia="zh-CN"/>
        </w:rPr>
        <w:t xml:space="preserve"> </w:t>
      </w:r>
      <w:r>
        <w:rPr>
          <w:rFonts w:hint="eastAsia"/>
        </w:rPr>
        <w:t>二级院（部）基本任务内的不加分，突破目标任务且取得突出成绩的可设加分项。加分项单列设置，由相关职能部门在单独的《加分项指标设置表》提出加分项目及评价标准。加分项直接按绝对分值加到二级学院考核总分，要严格控制加分项设置，原则上每个版块不超过2个加分项指标，原则上每个版块绝对加分分值不超过</w:t>
      </w:r>
      <w:r>
        <w:t>3</w:t>
      </w:r>
      <w:r>
        <w:rPr>
          <w:rFonts w:hint="eastAsia"/>
        </w:rPr>
        <w:t>分。加分项目及评价标准经“绩效考核专班”审核，并经学校研究决定。二级学院年终考核时，加分项由相关职能部门进行评分并提供评分依据，绩效考核专班审核后，提交学校研究决定。</w:t>
      </w:r>
    </w:p>
    <w:p w14:paraId="4DDB135A">
      <w:pPr>
        <w:ind w:firstLine="640"/>
      </w:pPr>
      <w:r>
        <w:rPr>
          <w:rFonts w:hint="eastAsia"/>
        </w:rPr>
        <w:t>2</w:t>
      </w:r>
      <w:r>
        <w:t>.</w:t>
      </w:r>
      <w:r>
        <w:rPr>
          <w:rFonts w:hint="eastAsia"/>
          <w:lang w:val="en-US" w:eastAsia="zh-CN"/>
        </w:rPr>
        <w:t xml:space="preserve"> </w:t>
      </w:r>
      <w:r>
        <w:rPr>
          <w:rFonts w:hint="eastAsia"/>
        </w:rPr>
        <w:t>职能（直属）部门不设加分项。</w:t>
      </w:r>
    </w:p>
    <w:p w14:paraId="688230B8">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（五）</w:t>
      </w:r>
      <w:r>
        <w:rPr>
          <w:rFonts w:hint="eastAsia"/>
          <w:color w:val="auto"/>
        </w:rPr>
        <w:t>扣分项</w:t>
      </w:r>
    </w:p>
    <w:p w14:paraId="6593F88E">
      <w:pPr>
        <w:ind w:firstLine="640"/>
      </w:pPr>
      <w:r>
        <w:rPr>
          <w:rFonts w:hint="eastAsia"/>
        </w:rPr>
        <w:t>1</w:t>
      </w:r>
      <w:r>
        <w:t>.</w:t>
      </w:r>
      <w:r>
        <w:rPr>
          <w:rFonts w:hint="eastAsia"/>
          <w:lang w:val="en-US" w:eastAsia="zh-CN"/>
        </w:rPr>
        <w:t xml:space="preserve"> </w:t>
      </w:r>
      <w:r>
        <w:rPr>
          <w:rFonts w:hint="eastAsia"/>
        </w:rPr>
        <w:t>针对各二级单位，出现以下情况列入扣分项：校级会议会纪会风不良；校长直通车满意度未达到要求；师生违规吸烟；意识形态工作不力；评估工作不力；违反师德师风；危机事件处理不力等造成了不良后果。以上情况按学校规章制度和有关法规进行处理外，还应在目标考核总分中进行扣分，有重大扣分项不得评优。</w:t>
      </w:r>
    </w:p>
    <w:p w14:paraId="78B34722">
      <w:pPr>
        <w:ind w:firstLine="640"/>
      </w:pPr>
      <w:r>
        <w:rPr>
          <w:rFonts w:hint="eastAsia"/>
        </w:rPr>
        <w:t>2</w:t>
      </w:r>
      <w:r>
        <w:t>.</w:t>
      </w:r>
      <w:r>
        <w:rPr>
          <w:rFonts w:hint="eastAsia"/>
          <w:lang w:val="en-US" w:eastAsia="zh-CN"/>
        </w:rPr>
        <w:t xml:space="preserve"> </w:t>
      </w:r>
      <w:r>
        <w:rPr>
          <w:rFonts w:hint="eastAsia"/>
        </w:rPr>
        <w:t>由牵头处理单位制定扣分细则</w:t>
      </w:r>
      <w:bookmarkStart w:id="4" w:name="OLE_LINK1"/>
      <w:bookmarkStart w:id="5" w:name="OLE_LINK2"/>
      <w:r>
        <w:rPr>
          <w:rFonts w:hint="eastAsia"/>
        </w:rPr>
        <w:t>，</w:t>
      </w:r>
      <w:bookmarkStart w:id="6" w:name="OLE_LINK12"/>
      <w:bookmarkStart w:id="7" w:name="OLE_LINK13"/>
      <w:r>
        <w:rPr>
          <w:rFonts w:hint="eastAsia"/>
        </w:rPr>
        <w:t>经部门负责人及分管校领导签字后报校绩效考核办公室备案。</w:t>
      </w:r>
      <w:bookmarkEnd w:id="6"/>
      <w:bookmarkEnd w:id="7"/>
      <w:r>
        <w:rPr>
          <w:rFonts w:hint="eastAsia"/>
        </w:rPr>
        <w:t>扣分细则由牵头部门负责向全校传达并解释。按照事件不良影响的范围和程度给予最多不超过10分的扣分（重大扣8—10分，一般扣5—7分，较小扣1—4分），已在目标考核指标中有明确扣分的，不重复扣分。</w:t>
      </w:r>
    </w:p>
    <w:bookmarkEnd w:id="4"/>
    <w:bookmarkEnd w:id="5"/>
    <w:p w14:paraId="10BCE49B">
      <w:pPr>
        <w:ind w:firstLine="640"/>
      </w:pPr>
      <w:r>
        <w:rPr>
          <w:rFonts w:hint="eastAsia"/>
        </w:rPr>
        <w:t>3</w:t>
      </w:r>
      <w:r>
        <w:t>.</w:t>
      </w:r>
      <w:r>
        <w:rPr>
          <w:rFonts w:hint="eastAsia"/>
          <w:lang w:val="en-US" w:eastAsia="zh-CN"/>
        </w:rPr>
        <w:t xml:space="preserve"> </w:t>
      </w:r>
      <w:r>
        <w:rPr>
          <w:rFonts w:hint="eastAsia"/>
        </w:rPr>
        <w:t>年底考核时，由牵头处理单位负责扣分项考核，扣分最终结果经部门负责人及分管校领导签字后，联同扣分项事实材料复印件，经“绩效考核专班”审核后报学校审定。</w:t>
      </w:r>
    </w:p>
    <w:p w14:paraId="399ACE86">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（六）</w:t>
      </w:r>
      <w:r>
        <w:rPr>
          <w:rFonts w:hint="eastAsia"/>
          <w:color w:val="auto"/>
        </w:rPr>
        <w:t>一票否决</w:t>
      </w:r>
    </w:p>
    <w:p w14:paraId="02F1B7B6">
      <w:pPr>
        <w:ind w:firstLine="640"/>
      </w:pPr>
      <w:r>
        <w:rPr>
          <w:rFonts w:hint="eastAsia" w:hAnsi="仿宋_GB2312" w:cs="仿宋_GB2312"/>
        </w:rPr>
        <w:t>凡发生以下行为之一，均实行一票否决。</w:t>
      </w:r>
      <w:r>
        <w:rPr>
          <w:rFonts w:hint="eastAsia"/>
        </w:rPr>
        <w:t>由牵头处理单位提供事实材料至校绩效考核办公室，经“绩效考核专班”审核，报校务会研究决定直接定级为D档。</w:t>
      </w:r>
    </w:p>
    <w:p w14:paraId="0E216A1B">
      <w:pPr>
        <w:numPr>
          <w:ilvl w:val="0"/>
          <w:numId w:val="4"/>
        </w:numPr>
        <w:ind w:firstLine="640"/>
      </w:pPr>
      <w:r>
        <w:rPr>
          <w:rFonts w:hint="eastAsia"/>
        </w:rPr>
        <w:t>发生严重违反师德师风事件。</w:t>
      </w:r>
    </w:p>
    <w:p w14:paraId="32F04F00">
      <w:pPr>
        <w:numPr>
          <w:ilvl w:val="0"/>
          <w:numId w:val="4"/>
        </w:numPr>
        <w:ind w:firstLine="640" w:firstLineChars="200"/>
      </w:pPr>
      <w:r>
        <w:rPr>
          <w:rFonts w:hint="eastAsia"/>
        </w:rPr>
        <w:t>因违反学术诚信造成学校声誉受损。</w:t>
      </w:r>
    </w:p>
    <w:p w14:paraId="48137E87">
      <w:pPr>
        <w:numPr>
          <w:ilvl w:val="0"/>
          <w:numId w:val="4"/>
        </w:numPr>
        <w:ind w:firstLine="640" w:firstLineChars="200"/>
      </w:pPr>
      <w:r>
        <w:rPr>
          <w:rFonts w:hint="eastAsia"/>
        </w:rPr>
        <w:t>违规使用学校无形资产(校名、域名及校誉等)，造成学校声誉或经济利益受到重大损失。</w:t>
      </w:r>
    </w:p>
    <w:p w14:paraId="2EE9DE7B">
      <w:pPr>
        <w:numPr>
          <w:ilvl w:val="0"/>
          <w:numId w:val="4"/>
        </w:numPr>
        <w:ind w:firstLine="640" w:firstLineChars="200"/>
      </w:pPr>
      <w:r>
        <w:rPr>
          <w:rFonts w:hint="eastAsia"/>
        </w:rPr>
        <w:t>发生重大责任事故、灾害或人员伤亡(包括但不限于火灾、爆炸)。</w:t>
      </w:r>
    </w:p>
    <w:p w14:paraId="5D08DB90">
      <w:pPr>
        <w:numPr>
          <w:ilvl w:val="0"/>
          <w:numId w:val="4"/>
        </w:numPr>
        <w:ind w:firstLine="640" w:firstLineChars="200"/>
      </w:pPr>
      <w:r>
        <w:rPr>
          <w:rFonts w:hint="eastAsia"/>
        </w:rPr>
        <w:t>发生群体性事件(罢工、罢课、上访、非法集会和游行)。</w:t>
      </w:r>
    </w:p>
    <w:p w14:paraId="37DC1D12">
      <w:pPr>
        <w:numPr>
          <w:ilvl w:val="0"/>
          <w:numId w:val="4"/>
        </w:numPr>
        <w:ind w:firstLine="640" w:firstLineChars="200"/>
      </w:pPr>
      <w:r>
        <w:rPr>
          <w:rFonts w:hint="eastAsia"/>
        </w:rPr>
        <w:t>发生重大负面舆情事件。</w:t>
      </w:r>
    </w:p>
    <w:p w14:paraId="12541BC0">
      <w:pPr>
        <w:numPr>
          <w:ilvl w:val="0"/>
          <w:numId w:val="4"/>
        </w:numPr>
        <w:ind w:firstLine="640" w:firstLineChars="200"/>
      </w:pPr>
      <w:r>
        <w:rPr>
          <w:rFonts w:hint="eastAsia"/>
        </w:rPr>
        <w:t>在考核中舞弊作假行为。</w:t>
      </w:r>
    </w:p>
    <w:p w14:paraId="3FB950EB">
      <w:pPr>
        <w:numPr>
          <w:ilvl w:val="0"/>
          <w:numId w:val="4"/>
        </w:numPr>
        <w:ind w:firstLine="640" w:firstLineChars="200"/>
      </w:pPr>
      <w:r>
        <w:rPr>
          <w:rFonts w:hint="eastAsia"/>
        </w:rPr>
        <w:t>其他违反国家及学校规定造成严重后果的情况。</w:t>
      </w:r>
    </w:p>
    <w:p w14:paraId="43621BBE">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（七）</w:t>
      </w:r>
      <w:r>
        <w:rPr>
          <w:rFonts w:hint="eastAsia"/>
          <w:color w:val="auto"/>
        </w:rPr>
        <w:t>因上级主管部门政策调整等客观原因影响目标任务达成度的情况</w:t>
      </w:r>
    </w:p>
    <w:p w14:paraId="25CF0FBB">
      <w:pPr>
        <w:ind w:firstLine="640"/>
      </w:pPr>
      <w:r>
        <w:rPr>
          <w:rFonts w:hint="eastAsia"/>
        </w:rPr>
        <w:t>由二级单位出具书面说明，单位负责人及分管（联系）校领导签字确认，人力资源部集中报学校绩效考核工作领导小组审定，取消该项指标的考核，由绩效考核专班对分数进行折算处理。</w:t>
      </w:r>
    </w:p>
    <w:p w14:paraId="139B4C42">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（八）</w:t>
      </w:r>
      <w:r>
        <w:rPr>
          <w:rFonts w:hint="eastAsia"/>
          <w:color w:val="auto"/>
        </w:rPr>
        <w:t>评定等级</w:t>
      </w:r>
    </w:p>
    <w:p w14:paraId="47C932DA">
      <w:pPr>
        <w:pStyle w:val="4"/>
        <w:keepNext w:val="0"/>
        <w:keepLines w:val="0"/>
        <w:numPr>
          <w:numId w:val="0"/>
        </w:numPr>
        <w:ind w:firstLine="643"/>
      </w:pPr>
      <w:r>
        <w:rPr>
          <w:rFonts w:hint="eastAsia" w:ascii="仿宋_GB2312" w:eastAsia="仿宋_GB2312" w:hAnsiTheme="minorHAnsi" w:cstheme="minorBidi"/>
          <w:b/>
          <w:bCs/>
          <w:kern w:val="2"/>
          <w:sz w:val="32"/>
          <w:szCs w:val="32"/>
          <w:lang w:val="en-US" w:eastAsia="zh-CN" w:bidi="ar-SA"/>
        </w:rPr>
        <w:t>1.</w:t>
      </w:r>
      <w:r>
        <w:rPr>
          <w:rFonts w:hint="eastAsia" w:cstheme="minorBidi"/>
          <w:b/>
          <w:bCs/>
          <w:kern w:val="2"/>
          <w:sz w:val="32"/>
          <w:szCs w:val="32"/>
          <w:lang w:val="en-US" w:eastAsia="zh-CN" w:bidi="ar-SA"/>
        </w:rPr>
        <w:t xml:space="preserve"> </w:t>
      </w:r>
      <w:r>
        <w:rPr>
          <w:rFonts w:hint="eastAsia"/>
        </w:rPr>
        <w:t>单位评级</w:t>
      </w:r>
    </w:p>
    <w:p w14:paraId="0CB0BBDA">
      <w:pPr>
        <w:ind w:firstLine="640"/>
      </w:pPr>
      <w:r>
        <w:rPr>
          <w:rFonts w:hint="eastAsia"/>
        </w:rPr>
        <w:t>单位排名依据年终考核总分分类排序，分为A、B、C、D四个等级。</w:t>
      </w:r>
    </w:p>
    <w:p w14:paraId="732347D3">
      <w:pPr>
        <w:ind w:firstLine="640"/>
      </w:pPr>
      <w:r>
        <w:rPr>
          <w:rFonts w:hint="eastAsia"/>
        </w:rPr>
        <w:t>（1）A档：得分在考核总分95及以上；</w:t>
      </w:r>
    </w:p>
    <w:p w14:paraId="2B875B3F">
      <w:pPr>
        <w:ind w:firstLine="640"/>
      </w:pPr>
      <w:r>
        <w:rPr>
          <w:rFonts w:hint="eastAsia"/>
        </w:rPr>
        <w:t>（2）B档：得分在考核总分85（含）至95分以内；</w:t>
      </w:r>
    </w:p>
    <w:p w14:paraId="02C44174">
      <w:pPr>
        <w:ind w:firstLine="640"/>
      </w:pPr>
      <w:r>
        <w:rPr>
          <w:rFonts w:hint="eastAsia"/>
        </w:rPr>
        <w:t>（3）C档：得分在考核总分75（含）至85分以内；</w:t>
      </w:r>
    </w:p>
    <w:p w14:paraId="3E0FB025">
      <w:pPr>
        <w:ind w:firstLine="640"/>
      </w:pPr>
      <w:r>
        <w:rPr>
          <w:rFonts w:hint="eastAsia"/>
        </w:rPr>
        <w:t>（4）D档：出现下列任一情况</w:t>
      </w:r>
    </w:p>
    <w:p w14:paraId="7AE54D56">
      <w:pPr>
        <w:ind w:firstLine="640"/>
      </w:pPr>
      <w:r>
        <w:rPr>
          <w:rFonts w:hint="eastAsia"/>
        </w:rPr>
        <w:t>①得分在考核总分75分以下；</w:t>
      </w:r>
    </w:p>
    <w:p w14:paraId="49D4E18A">
      <w:pPr>
        <w:ind w:firstLine="640"/>
      </w:pPr>
      <w:r>
        <w:rPr>
          <w:rFonts w:hint="eastAsia"/>
        </w:rPr>
        <w:t>②出现重大责任事故一票否决的。</w:t>
      </w:r>
    </w:p>
    <w:p w14:paraId="06DD4A5F">
      <w:pPr>
        <w:pStyle w:val="4"/>
        <w:keepNext w:val="0"/>
        <w:keepLines w:val="0"/>
        <w:numPr>
          <w:ilvl w:val="0"/>
          <w:numId w:val="5"/>
        </w:numPr>
        <w:ind w:firstLine="643"/>
      </w:pPr>
      <w:r>
        <w:rPr>
          <w:rFonts w:hint="eastAsia"/>
        </w:rPr>
        <w:t>二级学院</w:t>
      </w:r>
    </w:p>
    <w:p w14:paraId="727ACCD1">
      <w:pPr>
        <w:pStyle w:val="5"/>
        <w:keepNext w:val="0"/>
        <w:keepLines w:val="0"/>
        <w:numPr>
          <w:numId w:val="0"/>
        </w:numPr>
        <w:ind w:firstLine="643"/>
      </w:pPr>
      <w:r>
        <w:rPr>
          <w:rFonts w:hint="eastAsia" w:ascii="仿宋_GB2312" w:eastAsia="仿宋_GB2312" w:hAnsiTheme="majorHAnsi" w:cstheme="majorBidi"/>
          <w:b/>
          <w:bCs/>
          <w:kern w:val="2"/>
          <w:sz w:val="32"/>
          <w:szCs w:val="28"/>
          <w:lang w:val="en-US" w:eastAsia="zh-CN" w:bidi="ar-SA"/>
        </w:rPr>
        <w:t>（1）</w:t>
      </w:r>
      <w:r>
        <w:rPr>
          <w:rFonts w:hint="eastAsia"/>
        </w:rPr>
        <w:t>优秀单位</w:t>
      </w:r>
    </w:p>
    <w:p w14:paraId="6C105181">
      <w:pPr>
        <w:ind w:firstLine="640"/>
      </w:pPr>
      <w:r>
        <w:rPr>
          <w:rFonts w:hint="eastAsia"/>
        </w:rPr>
        <w:t>优秀单位不超过3个，按照目标任务书总评分数从高至低排序。</w:t>
      </w:r>
    </w:p>
    <w:p w14:paraId="4913AB23">
      <w:pPr>
        <w:pStyle w:val="5"/>
        <w:keepNext w:val="0"/>
        <w:keepLines w:val="0"/>
        <w:numPr>
          <w:numId w:val="0"/>
        </w:numPr>
        <w:ind w:firstLine="643"/>
      </w:pPr>
      <w:r>
        <w:rPr>
          <w:rFonts w:hint="eastAsia" w:ascii="仿宋_GB2312" w:eastAsia="仿宋_GB2312" w:hAnsiTheme="majorHAnsi" w:cstheme="majorBidi"/>
          <w:b/>
          <w:bCs/>
          <w:kern w:val="2"/>
          <w:sz w:val="32"/>
          <w:szCs w:val="28"/>
          <w:lang w:val="en-US" w:eastAsia="zh-CN" w:bidi="ar-SA"/>
        </w:rPr>
        <w:t>（2）</w:t>
      </w:r>
      <w:r>
        <w:rPr>
          <w:rFonts w:hint="eastAsia"/>
        </w:rPr>
        <w:t>二级院（部）单项奖</w:t>
      </w:r>
    </w:p>
    <w:p w14:paraId="12993F80">
      <w:pPr>
        <w:ind w:firstLine="640"/>
      </w:pPr>
      <w:r>
        <w:rPr>
          <w:rFonts w:hint="eastAsia"/>
        </w:rPr>
        <w:t>原则上各版块分别设置单项奖1个，由相关职能部门根据有关文件设置。</w:t>
      </w:r>
    </w:p>
    <w:p w14:paraId="1C25C68D">
      <w:pPr>
        <w:pStyle w:val="4"/>
        <w:keepNext w:val="0"/>
        <w:keepLines w:val="0"/>
        <w:numPr>
          <w:ilvl w:val="0"/>
          <w:numId w:val="5"/>
        </w:numPr>
        <w:ind w:firstLine="643" w:firstLineChars="200"/>
      </w:pPr>
      <w:r>
        <w:rPr>
          <w:rFonts w:hint="eastAsia"/>
        </w:rPr>
        <w:t>职能（直属）部门优秀单位</w:t>
      </w:r>
    </w:p>
    <w:p w14:paraId="703ED9C6">
      <w:pPr>
        <w:ind w:firstLine="640"/>
      </w:pPr>
      <w:r>
        <w:rPr>
          <w:rFonts w:hint="eastAsia"/>
        </w:rPr>
        <w:t>职能（直属）部门优秀单位总数不超过5个。职能（直属）部门按照与校务会考核指标的关联度和部门性质分为三类，按总评分数从高至低排序，进行分类评优。</w:t>
      </w:r>
    </w:p>
    <w:p w14:paraId="363576DE">
      <w:pPr>
        <w:ind w:firstLine="640"/>
      </w:pPr>
      <w:r>
        <w:rPr>
          <w:rFonts w:hint="eastAsia" w:hAnsi="仿宋_GB2312" w:cs="仿宋_GB2312"/>
        </w:rPr>
        <w:t>A类</w:t>
      </w:r>
      <w:r>
        <w:rPr>
          <w:rFonts w:hint="eastAsia"/>
        </w:rPr>
        <w:t>共</w:t>
      </w:r>
      <w:r>
        <w:t>10</w:t>
      </w:r>
      <w:r>
        <w:rPr>
          <w:rFonts w:hint="eastAsia"/>
        </w:rPr>
        <w:t>个部门，评优指标3个；</w:t>
      </w:r>
      <w:r>
        <w:rPr>
          <w:rFonts w:hint="eastAsia" w:hAnsi="仿宋_GB2312" w:cs="仿宋_GB2312"/>
          <w:bCs/>
        </w:rPr>
        <w:t>B类</w:t>
      </w:r>
      <w:r>
        <w:rPr>
          <w:rFonts w:hint="eastAsia"/>
        </w:rPr>
        <w:t>共</w:t>
      </w:r>
      <w:r>
        <w:t>5</w:t>
      </w:r>
      <w:r>
        <w:rPr>
          <w:rFonts w:hint="eastAsia"/>
        </w:rPr>
        <w:t>个部门，评优指标1个；C类共</w:t>
      </w:r>
      <w:r>
        <w:t>5</w:t>
      </w:r>
      <w:r>
        <w:rPr>
          <w:rFonts w:hint="eastAsia"/>
        </w:rPr>
        <w:t>个部门，评优指标1个。</w:t>
      </w:r>
    </w:p>
    <w:p w14:paraId="3C1DF8E4">
      <w:pPr>
        <w:pStyle w:val="4"/>
        <w:keepNext w:val="0"/>
        <w:keepLines w:val="0"/>
        <w:numPr>
          <w:ilvl w:val="0"/>
          <w:numId w:val="5"/>
        </w:numPr>
        <w:ind w:firstLine="643" w:firstLineChars="200"/>
      </w:pPr>
      <w:r>
        <w:rPr>
          <w:rFonts w:hint="eastAsia"/>
        </w:rPr>
        <w:t>取消</w:t>
      </w:r>
      <w:bookmarkStart w:id="8" w:name="OLE_LINK3"/>
      <w:r>
        <w:rPr>
          <w:rFonts w:hint="eastAsia"/>
        </w:rPr>
        <w:t>评优评奖资格</w:t>
      </w:r>
      <w:bookmarkEnd w:id="8"/>
    </w:p>
    <w:p w14:paraId="64E21F4A">
      <w:pPr>
        <w:pStyle w:val="4"/>
        <w:keepNext w:val="0"/>
        <w:keepLines w:val="0"/>
        <w:numPr>
          <w:ilvl w:val="0"/>
          <w:numId w:val="0"/>
        </w:numPr>
        <w:ind w:firstLine="640" w:firstLineChars="200"/>
        <w:rPr>
          <w:b w:val="0"/>
          <w:bCs w:val="0"/>
          <w:szCs w:val="22"/>
        </w:rPr>
      </w:pPr>
      <w:r>
        <w:rPr>
          <w:rFonts w:hint="eastAsia"/>
          <w:b w:val="0"/>
          <w:bCs w:val="0"/>
          <w:szCs w:val="22"/>
        </w:rPr>
        <w:t>（1）出现重大扣分项以及一票否决的</w:t>
      </w:r>
      <w:bookmarkStart w:id="9" w:name="OLE_LINK4"/>
      <w:r>
        <w:rPr>
          <w:rFonts w:hint="eastAsia"/>
          <w:b w:val="0"/>
          <w:bCs w:val="0"/>
          <w:szCs w:val="22"/>
        </w:rPr>
        <w:t>二级单位</w:t>
      </w:r>
      <w:bookmarkEnd w:id="9"/>
      <w:r>
        <w:rPr>
          <w:rFonts w:hint="eastAsia"/>
          <w:b w:val="0"/>
          <w:bCs w:val="0"/>
          <w:szCs w:val="22"/>
        </w:rPr>
        <w:t>，取消</w:t>
      </w:r>
      <w:r>
        <w:rPr>
          <w:rFonts w:hint="eastAsia"/>
          <w:b w:val="0"/>
        </w:rPr>
        <w:t>评优评奖资格</w:t>
      </w:r>
      <w:r>
        <w:rPr>
          <w:rFonts w:hint="eastAsia"/>
          <w:b w:val="0"/>
          <w:bCs w:val="0"/>
          <w:szCs w:val="22"/>
        </w:rPr>
        <w:t>；</w:t>
      </w:r>
    </w:p>
    <w:p w14:paraId="51D73944">
      <w:pPr>
        <w:pStyle w:val="4"/>
        <w:keepNext w:val="0"/>
        <w:keepLines w:val="0"/>
        <w:numPr>
          <w:ilvl w:val="0"/>
          <w:numId w:val="0"/>
        </w:numPr>
        <w:ind w:firstLine="640" w:firstLineChars="200"/>
        <w:rPr>
          <w:b w:val="0"/>
          <w:bCs w:val="0"/>
          <w:szCs w:val="22"/>
        </w:rPr>
      </w:pPr>
      <w:r>
        <w:rPr>
          <w:rFonts w:hint="eastAsia"/>
          <w:b w:val="0"/>
        </w:rPr>
        <w:t>（2）根据《武汉工商学院校园控制吸烟管理办法（试行）》《武汉工商学院教职工校园控烟工作实施细则（试行）》，师生违规吸烟人次或比例较大，</w:t>
      </w:r>
      <w:r>
        <w:rPr>
          <w:rFonts w:hint="eastAsia"/>
          <w:b w:val="0"/>
          <w:bCs w:val="0"/>
          <w:szCs w:val="22"/>
        </w:rPr>
        <w:t>取消二级单位</w:t>
      </w:r>
      <w:r>
        <w:rPr>
          <w:rFonts w:hint="eastAsia"/>
          <w:b w:val="0"/>
        </w:rPr>
        <w:t>评优评奖资格。</w:t>
      </w:r>
    </w:p>
    <w:p w14:paraId="48BCC84F">
      <w:pPr>
        <w:pStyle w:val="2"/>
        <w:numPr>
          <w:numId w:val="0"/>
        </w:numPr>
        <w:ind w:firstLine="640" w:firstLineChars="200"/>
      </w:pPr>
      <w:r>
        <w:rPr>
          <w:rFonts w:hint="eastAsia" w:ascii="黑体" w:eastAsia="黑体" w:hAnsiTheme="minorHAnsi" w:cstheme="minorBidi"/>
          <w:bCs/>
          <w:kern w:val="44"/>
          <w:sz w:val="32"/>
          <w:szCs w:val="44"/>
          <w:lang w:val="en-US" w:eastAsia="zh-CN" w:bidi="ar-SA"/>
        </w:rPr>
        <w:t>五、</w:t>
      </w:r>
      <w:r>
        <w:rPr>
          <w:rFonts w:hint="eastAsia"/>
        </w:rPr>
        <w:t>管理与考核</w:t>
      </w:r>
    </w:p>
    <w:p w14:paraId="0D5D5A0A">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（一）</w:t>
      </w:r>
      <w:r>
        <w:rPr>
          <w:rFonts w:hint="eastAsia"/>
          <w:color w:val="auto"/>
        </w:rPr>
        <w:t>目标任务书签订程序</w:t>
      </w:r>
    </w:p>
    <w:p w14:paraId="5153F538">
      <w:pPr>
        <w:ind w:firstLine="640"/>
      </w:pPr>
      <w:r>
        <w:rPr>
          <w:rFonts w:hint="eastAsia"/>
        </w:rPr>
        <w:t>1.</w:t>
      </w:r>
      <w:r>
        <w:rPr>
          <w:rFonts w:hint="eastAsia"/>
          <w:lang w:val="en-US" w:eastAsia="zh-CN"/>
        </w:rPr>
        <w:t xml:space="preserve"> </w:t>
      </w:r>
      <w:r>
        <w:rPr>
          <w:rFonts w:hint="eastAsia"/>
        </w:rPr>
        <w:t>校务会制定全校统一的KPI指标。</w:t>
      </w:r>
    </w:p>
    <w:p w14:paraId="1CF3390B">
      <w:pPr>
        <w:ind w:firstLine="640"/>
      </w:pPr>
      <w:r>
        <w:rPr>
          <w:rFonts w:hint="eastAsia"/>
        </w:rPr>
        <w:t>2.</w:t>
      </w:r>
      <w:r>
        <w:rPr>
          <w:rFonts w:hint="eastAsia"/>
          <w:lang w:val="en-US" w:eastAsia="zh-CN"/>
        </w:rPr>
        <w:t xml:space="preserve"> </w:t>
      </w:r>
      <w:r>
        <w:rPr>
          <w:rFonts w:hint="eastAsia"/>
        </w:rPr>
        <w:t>各职能（直属）部门与二级院（部），根据202</w:t>
      </w:r>
      <w:r>
        <w:t>5</w:t>
      </w:r>
      <w:r>
        <w:rPr>
          <w:rFonts w:hint="eastAsia"/>
        </w:rPr>
        <w:t>年度中心工作和总的KPI目标，并结合审核评估建设、和“十四五”规划目标，分解落实目标任务和制定各单位目标任务。</w:t>
      </w:r>
    </w:p>
    <w:p w14:paraId="39E00A5A">
      <w:pPr>
        <w:ind w:firstLine="640"/>
      </w:pPr>
      <w:r>
        <w:rPr>
          <w:rFonts w:hint="eastAsia"/>
        </w:rPr>
        <w:t>3.</w:t>
      </w:r>
      <w:r>
        <w:rPr>
          <w:rFonts w:hint="eastAsia"/>
          <w:lang w:val="en-US" w:eastAsia="zh-CN"/>
        </w:rPr>
        <w:t xml:space="preserve"> </w:t>
      </w:r>
      <w:r>
        <w:rPr>
          <w:rFonts w:hint="eastAsia"/>
        </w:rPr>
        <w:t>分管领导和相关单位负责人审阅各单位目标任务书。</w:t>
      </w:r>
    </w:p>
    <w:p w14:paraId="62F9F0BD">
      <w:pPr>
        <w:ind w:firstLine="640"/>
        <w:rPr>
          <w:rFonts w:hint="eastAsia" w:hAnsi="仿宋_GB2312" w:cs="仿宋_GB2312"/>
        </w:rPr>
      </w:pPr>
      <w:r>
        <w:rPr>
          <w:rFonts w:hint="eastAsia" w:hAnsi="仿宋_GB2312" w:cs="仿宋_GB2312"/>
        </w:rPr>
        <w:t>4.</w:t>
      </w:r>
      <w:r>
        <w:rPr>
          <w:rFonts w:hint="eastAsia" w:hAnsi="仿宋_GB2312" w:cs="仿宋_GB2312"/>
          <w:lang w:val="en-US" w:eastAsia="zh-CN"/>
        </w:rPr>
        <w:t xml:space="preserve"> </w:t>
      </w:r>
      <w:r>
        <w:rPr>
          <w:rFonts w:hint="eastAsia"/>
        </w:rPr>
        <w:t>“绩效考核专班”对各二级单位的目标任务书进行复审</w:t>
      </w:r>
      <w:r>
        <w:rPr>
          <w:rFonts w:hint="eastAsia" w:hAnsi="仿宋_GB2312" w:cs="仿宋_GB2312"/>
        </w:rPr>
        <w:t>。</w:t>
      </w:r>
    </w:p>
    <w:p w14:paraId="29957EE5">
      <w:pPr>
        <w:ind w:firstLine="640"/>
      </w:pPr>
      <w:r>
        <w:rPr>
          <w:rFonts w:hint="eastAsia"/>
        </w:rPr>
        <w:t>5.</w:t>
      </w:r>
      <w:r>
        <w:rPr>
          <w:rFonts w:hint="eastAsia"/>
          <w:lang w:val="en-US" w:eastAsia="zh-CN"/>
        </w:rPr>
        <w:t xml:space="preserve"> </w:t>
      </w:r>
      <w:r>
        <w:rPr>
          <w:rFonts w:hint="eastAsia"/>
        </w:rPr>
        <w:t>学校审定各二级院（部）、职能（直属）部门目标任务书。</w:t>
      </w:r>
    </w:p>
    <w:p w14:paraId="6731D0CF">
      <w:pPr>
        <w:ind w:firstLine="640"/>
      </w:pPr>
      <w:r>
        <w:rPr>
          <w:rFonts w:hint="eastAsia"/>
        </w:rPr>
        <w:t>6.</w:t>
      </w:r>
      <w:r>
        <w:rPr>
          <w:rFonts w:hint="eastAsia"/>
          <w:lang w:val="en-US" w:eastAsia="zh-CN"/>
        </w:rPr>
        <w:t xml:space="preserve"> </w:t>
      </w:r>
      <w:r>
        <w:rPr>
          <w:rFonts w:hint="eastAsia"/>
        </w:rPr>
        <w:t>学校与各二级院（部）、职能（直属）部门签订目标任务书。</w:t>
      </w:r>
    </w:p>
    <w:p w14:paraId="7D24892F">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（二）</w:t>
      </w:r>
      <w:r>
        <w:rPr>
          <w:rFonts w:hint="eastAsia"/>
          <w:color w:val="auto"/>
        </w:rPr>
        <w:t>实施中期检查</w:t>
      </w:r>
    </w:p>
    <w:p w14:paraId="7DAFD72B">
      <w:pPr>
        <w:ind w:firstLine="640"/>
      </w:pPr>
      <w:r>
        <w:rPr>
          <w:rFonts w:hint="eastAsia"/>
        </w:rPr>
        <w:t>主要检查校务会核心指标中期完成情况，由相关职能部门总结各项指标具体完成情况，分析未完成的具体原因，阐述为达成目标的具体举措。</w:t>
      </w:r>
    </w:p>
    <w:p w14:paraId="5DDE79A4">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（三）</w:t>
      </w:r>
      <w:r>
        <w:rPr>
          <w:rFonts w:hint="eastAsia"/>
          <w:color w:val="auto"/>
        </w:rPr>
        <w:t>年终考核程序</w:t>
      </w:r>
    </w:p>
    <w:p w14:paraId="3AED6D82">
      <w:pPr>
        <w:ind w:firstLine="640"/>
      </w:pPr>
      <w:r>
        <w:rPr>
          <w:rFonts w:hint="eastAsia"/>
        </w:rPr>
        <w:t>二级单位考核实行信息化考核，程序如下：</w:t>
      </w:r>
    </w:p>
    <w:p w14:paraId="418EE167">
      <w:pPr>
        <w:pStyle w:val="4"/>
        <w:keepNext w:val="0"/>
        <w:keepLines w:val="0"/>
        <w:numPr>
          <w:ilvl w:val="0"/>
          <w:numId w:val="6"/>
        </w:numPr>
        <w:ind w:firstLine="643"/>
      </w:pPr>
      <w:r>
        <w:rPr>
          <w:rFonts w:hint="eastAsia"/>
        </w:rPr>
        <w:t>各二级单位登录人力资源系统提交考核支撑材料</w:t>
      </w:r>
    </w:p>
    <w:p w14:paraId="216A09B5">
      <w:pPr>
        <w:pStyle w:val="5"/>
        <w:keepNext w:val="0"/>
        <w:keepLines w:val="0"/>
        <w:numPr>
          <w:numId w:val="0"/>
        </w:numPr>
        <w:ind w:firstLine="643"/>
      </w:pPr>
      <w:r>
        <w:rPr>
          <w:rFonts w:hint="eastAsia" w:ascii="仿宋_GB2312" w:eastAsia="仿宋_GB2312" w:hAnsiTheme="majorHAnsi" w:cstheme="majorBidi"/>
          <w:b/>
          <w:bCs/>
          <w:kern w:val="2"/>
          <w:sz w:val="32"/>
          <w:szCs w:val="28"/>
          <w:lang w:val="en-US" w:eastAsia="zh-CN" w:bidi="ar-SA"/>
        </w:rPr>
        <w:t>（1）</w:t>
      </w:r>
      <w:r>
        <w:rPr>
          <w:rFonts w:hint="eastAsia"/>
        </w:rPr>
        <w:t>董事会、校务会核心定量指标</w:t>
      </w:r>
    </w:p>
    <w:p w14:paraId="7C031DB2">
      <w:pPr>
        <w:ind w:firstLine="640"/>
      </w:pPr>
      <w:r>
        <w:rPr>
          <w:rFonts w:hint="eastAsia"/>
        </w:rPr>
        <w:t>提供上级主管单位（或业务主管部门）证明材料，应为正式发布的文件或有相关负责人签字、盖章。</w:t>
      </w:r>
    </w:p>
    <w:p w14:paraId="1E9737AB">
      <w:pPr>
        <w:pStyle w:val="5"/>
        <w:keepNext w:val="0"/>
        <w:keepLines w:val="0"/>
        <w:numPr>
          <w:numId w:val="0"/>
        </w:numPr>
        <w:ind w:firstLine="643"/>
      </w:pPr>
      <w:r>
        <w:rPr>
          <w:rFonts w:hint="eastAsia" w:ascii="仿宋_GB2312" w:eastAsia="仿宋_GB2312" w:hAnsiTheme="majorHAnsi" w:cstheme="majorBidi"/>
          <w:b/>
          <w:bCs/>
          <w:kern w:val="2"/>
          <w:sz w:val="32"/>
          <w:szCs w:val="28"/>
          <w:lang w:val="en-US" w:eastAsia="zh-CN" w:bidi="ar-SA"/>
        </w:rPr>
        <w:t>（2）</w:t>
      </w:r>
      <w:r>
        <w:rPr>
          <w:rFonts w:hint="eastAsia"/>
        </w:rPr>
        <w:t>其他指标</w:t>
      </w:r>
    </w:p>
    <w:p w14:paraId="2A3F544B">
      <w:pPr>
        <w:ind w:firstLine="640"/>
      </w:pPr>
      <w:r>
        <w:rPr>
          <w:rFonts w:hint="eastAsia"/>
        </w:rPr>
        <w:t>原则上应提供上级主管单位（或业务主管部门）证明材料，应为正式发布的文件或有相关负责人签字、盖章。如无，则提供自证材料，自证材料应遵循闭环管理原则，一般包括该项工作的启动通知、过程管理、结果等。</w:t>
      </w:r>
    </w:p>
    <w:p w14:paraId="5A918B6C">
      <w:pPr>
        <w:pStyle w:val="4"/>
        <w:keepNext w:val="0"/>
        <w:keepLines w:val="0"/>
        <w:numPr>
          <w:ilvl w:val="0"/>
          <w:numId w:val="6"/>
        </w:numPr>
        <w:ind w:firstLine="643" w:firstLineChars="200"/>
      </w:pPr>
      <w:r>
        <w:rPr>
          <w:rFonts w:hint="eastAsia"/>
        </w:rPr>
        <w:t>组织“绩效考核专班”进行考核</w:t>
      </w:r>
    </w:p>
    <w:p w14:paraId="1C9EA7B2">
      <w:pPr>
        <w:ind w:firstLine="640"/>
      </w:pPr>
      <w:r>
        <w:rPr>
          <w:rFonts w:hint="eastAsia"/>
        </w:rPr>
        <w:t>“绩效考核专班”通过考核系统进行考核，主要依据目标任务书考核标准以及各单位提供的支撑材料进行评分，分为初评、复核和反馈三个阶段。二级学院由职能部门初评，专家依据职能部门初评进行评分。</w:t>
      </w:r>
    </w:p>
    <w:p w14:paraId="0D941C01">
      <w:pPr>
        <w:ind w:firstLine="640"/>
      </w:pPr>
      <w:r>
        <w:rPr>
          <w:rFonts w:hint="eastAsia"/>
        </w:rPr>
        <w:t>（1）初评阶段：初评开始前，各单位应提交完整的支撑材料，除了在考核成果截止时间内的数据更新（如缴费率、毕业生去向落实率等），或初评开始后、考核成果截止时间内新增的成果，原则上初评工作开始后不再进行材料补充。</w:t>
      </w:r>
    </w:p>
    <w:p w14:paraId="0602F8A8">
      <w:pPr>
        <w:ind w:firstLine="640"/>
      </w:pPr>
      <w:r>
        <w:rPr>
          <w:rFonts w:hint="eastAsia"/>
        </w:rPr>
        <w:t>（</w:t>
      </w:r>
      <w:r>
        <w:t>2</w:t>
      </w:r>
      <w:r>
        <w:rPr>
          <w:rFonts w:hint="eastAsia"/>
        </w:rPr>
        <w:t>）复评阶段：不再接受补充材料，专家直接在系统进行评分。</w:t>
      </w:r>
    </w:p>
    <w:p w14:paraId="3B09F18A">
      <w:pPr>
        <w:spacing w:line="480" w:lineRule="exact"/>
        <w:ind w:firstLine="640"/>
      </w:pPr>
      <w:r>
        <w:rPr>
          <w:rFonts w:hint="eastAsia"/>
        </w:rPr>
        <w:t>（</w:t>
      </w:r>
      <w:r>
        <w:t>3</w:t>
      </w:r>
      <w:r>
        <w:rPr>
          <w:rFonts w:hint="eastAsia"/>
        </w:rPr>
        <w:t>）反馈阶段：绩效考核办公室通过考核系统向各二级单位反馈专家评分和评分依据，各二级单位在规定的时间内进行申诉，专家对申诉情况进行复核讨论，并形成复核书面材料。对于工作质量原因扣分，原则上以专家意见为准。</w:t>
      </w:r>
    </w:p>
    <w:p w14:paraId="078410EE">
      <w:pPr>
        <w:pStyle w:val="4"/>
        <w:keepNext w:val="0"/>
        <w:keepLines w:val="0"/>
        <w:numPr>
          <w:numId w:val="0"/>
        </w:numPr>
        <w:ind w:firstLine="643"/>
      </w:pPr>
      <w:r>
        <w:rPr>
          <w:rFonts w:hint="eastAsia" w:ascii="仿宋_GB2312" w:eastAsia="仿宋_GB2312" w:hAnsiTheme="minorHAnsi" w:cstheme="minorBidi"/>
          <w:b/>
          <w:bCs/>
          <w:kern w:val="2"/>
          <w:sz w:val="32"/>
          <w:szCs w:val="32"/>
          <w:lang w:val="en-US" w:eastAsia="zh-CN" w:bidi="ar-SA"/>
        </w:rPr>
        <w:t>3.</w:t>
      </w:r>
      <w:r>
        <w:rPr>
          <w:rFonts w:hint="eastAsia" w:cstheme="minorBidi"/>
          <w:b/>
          <w:bCs/>
          <w:kern w:val="2"/>
          <w:sz w:val="32"/>
          <w:szCs w:val="32"/>
          <w:lang w:val="en-US" w:eastAsia="zh-CN" w:bidi="ar-SA"/>
        </w:rPr>
        <w:t xml:space="preserve"> </w:t>
      </w:r>
      <w:r>
        <w:rPr>
          <w:rFonts w:hint="eastAsia"/>
        </w:rPr>
        <w:t>学校审定。学校校务会对“绩效考核专班”提交的考核结果进行审定。</w:t>
      </w:r>
    </w:p>
    <w:p w14:paraId="708A2D1C">
      <w:pPr>
        <w:pStyle w:val="4"/>
        <w:keepNext w:val="0"/>
        <w:keepLines w:val="0"/>
        <w:numPr>
          <w:numId w:val="0"/>
        </w:numPr>
        <w:ind w:firstLine="643"/>
      </w:pPr>
      <w:r>
        <w:rPr>
          <w:rFonts w:hint="eastAsia" w:ascii="仿宋_GB2312" w:eastAsia="仿宋_GB2312" w:hAnsiTheme="minorHAnsi" w:cstheme="minorBidi"/>
          <w:b/>
          <w:bCs/>
          <w:kern w:val="2"/>
          <w:sz w:val="32"/>
          <w:szCs w:val="32"/>
          <w:lang w:val="en-US" w:eastAsia="zh-CN" w:bidi="ar-SA"/>
        </w:rPr>
        <w:t>4.</w:t>
      </w:r>
      <w:r>
        <w:rPr>
          <w:rFonts w:hint="eastAsia" w:cstheme="minorBidi"/>
          <w:b/>
          <w:bCs/>
          <w:kern w:val="2"/>
          <w:sz w:val="32"/>
          <w:szCs w:val="32"/>
          <w:lang w:val="en-US" w:eastAsia="zh-CN" w:bidi="ar-SA"/>
        </w:rPr>
        <w:t xml:space="preserve"> </w:t>
      </w:r>
      <w:r>
        <w:rPr>
          <w:rFonts w:hint="eastAsia"/>
        </w:rPr>
        <w:t>公布考核结果。学校公布考核结果，并与相应绩效挂钩。</w:t>
      </w:r>
    </w:p>
    <w:p w14:paraId="7FF18347">
      <w:pPr>
        <w:pStyle w:val="2"/>
        <w:numPr>
          <w:numId w:val="0"/>
        </w:numPr>
        <w:ind w:firstLine="640" w:firstLineChars="200"/>
      </w:pPr>
      <w:r>
        <w:rPr>
          <w:rFonts w:hint="eastAsia" w:ascii="黑体" w:eastAsia="黑体" w:hAnsiTheme="minorHAnsi" w:cstheme="minorBidi"/>
          <w:bCs/>
          <w:kern w:val="44"/>
          <w:sz w:val="32"/>
          <w:szCs w:val="44"/>
          <w:lang w:val="en-US" w:eastAsia="zh-CN" w:bidi="ar-SA"/>
        </w:rPr>
        <w:t>六、</w:t>
      </w:r>
      <w:r>
        <w:rPr>
          <w:rFonts w:hint="eastAsia"/>
        </w:rPr>
        <w:t>学校绩效总量及结构</w:t>
      </w:r>
    </w:p>
    <w:p w14:paraId="6F464196">
      <w:pPr>
        <w:ind w:firstLine="640"/>
        <w:rPr>
          <w:lang w:bidi="zh-CN"/>
        </w:rPr>
      </w:pPr>
      <w:r>
        <w:rPr>
          <w:rFonts w:hint="eastAsia"/>
          <w:lang w:bidi="zh-CN"/>
        </w:rPr>
        <w:t>学校绩效从时间节点分为专项奖励、月度绩效和年终绩效。</w:t>
      </w:r>
    </w:p>
    <w:p w14:paraId="754F0F00">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（一）</w:t>
      </w:r>
      <w:r>
        <w:rPr>
          <w:rFonts w:hint="eastAsia"/>
          <w:color w:val="auto"/>
        </w:rPr>
        <w:t>专项奖励</w:t>
      </w:r>
    </w:p>
    <w:p w14:paraId="74FF6869">
      <w:pPr>
        <w:ind w:firstLine="640"/>
        <w:rPr>
          <w:lang w:bidi="zh-CN"/>
        </w:rPr>
      </w:pPr>
      <w:r>
        <w:rPr>
          <w:rFonts w:hint="eastAsia"/>
          <w:lang w:bidi="zh-CN"/>
        </w:rPr>
        <w:t xml:space="preserve">专项奖励是指用于学校教学、科研、社会服务、招生就业、人事工作及其他专项性激励，纳入年度预算。根据学校现有专项奖励政策兑现。 </w:t>
      </w:r>
    </w:p>
    <w:p w14:paraId="05557644">
      <w:pPr>
        <w:ind w:firstLine="640"/>
        <w:rPr>
          <w:lang w:bidi="zh-CN"/>
        </w:rPr>
      </w:pPr>
      <w:r>
        <w:rPr>
          <w:rFonts w:hint="eastAsia"/>
          <w:lang w:bidi="zh-CN"/>
        </w:rPr>
        <w:t>专项奖励：</w:t>
      </w:r>
    </w:p>
    <w:p w14:paraId="3AA6B465">
      <w:pPr>
        <w:numPr>
          <w:ilvl w:val="0"/>
          <w:numId w:val="7"/>
        </w:numPr>
        <w:ind w:firstLine="640"/>
        <w:rPr>
          <w:lang w:bidi="zh-CN"/>
        </w:rPr>
      </w:pPr>
      <w:r>
        <w:rPr>
          <w:rFonts w:hint="eastAsia"/>
          <w:lang w:bidi="zh-CN"/>
        </w:rPr>
        <w:t>教学奖励:教学成果奖、一流本科课程、教材建设奖、省级教改项目、教学竞赛奖、教研论文奖、学科、技能竞赛指导教师奖励、普通本科生考研奖、英语四级通过率奖励、教学管理优秀奖、优质课堂奖、优秀实习指导老师奖、优秀学士学位论文指导奖、省级优秀基层教学组织、杰出教学奖等。</w:t>
      </w:r>
    </w:p>
    <w:p w14:paraId="2863482E">
      <w:pPr>
        <w:numPr>
          <w:ilvl w:val="0"/>
          <w:numId w:val="7"/>
        </w:numPr>
        <w:ind w:firstLine="640" w:firstLineChars="200"/>
      </w:pPr>
      <w:r>
        <w:rPr>
          <w:rFonts w:hint="eastAsia"/>
          <w:lang w:bidi="zh-CN"/>
        </w:rPr>
        <w:t>科研奖励：包括科研成果奖励、横向科研奖励、纵向到账及获批对应奖励、校内奖励等。</w:t>
      </w:r>
    </w:p>
    <w:p w14:paraId="03D4DD1D">
      <w:pPr>
        <w:numPr>
          <w:ilvl w:val="0"/>
          <w:numId w:val="7"/>
        </w:numPr>
        <w:ind w:firstLine="640" w:firstLineChars="200"/>
        <w:rPr>
          <w:lang w:bidi="zh-CN"/>
        </w:rPr>
      </w:pPr>
      <w:r>
        <w:rPr>
          <w:rFonts w:hint="eastAsia"/>
          <w:lang w:bidi="zh-CN"/>
        </w:rPr>
        <w:t>社会服务奖励。</w:t>
      </w:r>
    </w:p>
    <w:p w14:paraId="18335131">
      <w:pPr>
        <w:numPr>
          <w:ilvl w:val="0"/>
          <w:numId w:val="7"/>
        </w:numPr>
        <w:ind w:firstLine="640" w:firstLineChars="200"/>
        <w:rPr>
          <w:lang w:bidi="zh-CN"/>
        </w:rPr>
      </w:pPr>
      <w:r>
        <w:rPr>
          <w:rFonts w:hint="eastAsia"/>
          <w:lang w:bidi="zh-CN"/>
        </w:rPr>
        <w:t>就业奖励：包括就业奖励、就业工作奖励等。</w:t>
      </w:r>
    </w:p>
    <w:p w14:paraId="03BE8C5C">
      <w:pPr>
        <w:numPr>
          <w:ilvl w:val="0"/>
          <w:numId w:val="7"/>
        </w:numPr>
        <w:ind w:firstLine="640" w:firstLineChars="200"/>
        <w:rPr>
          <w:lang w:bidi="zh-CN"/>
        </w:rPr>
      </w:pPr>
      <w:r>
        <w:rPr>
          <w:rFonts w:hint="eastAsia"/>
          <w:lang w:bidi="zh-CN"/>
        </w:rPr>
        <w:t>人事奖励：高层次人才引进奖励等。</w:t>
      </w:r>
    </w:p>
    <w:p w14:paraId="401B6ACE">
      <w:pPr>
        <w:numPr>
          <w:ilvl w:val="0"/>
          <w:numId w:val="7"/>
        </w:numPr>
        <w:ind w:firstLine="640" w:firstLineChars="200"/>
        <w:rPr>
          <w:lang w:bidi="zh-CN"/>
        </w:rPr>
      </w:pPr>
      <w:r>
        <w:rPr>
          <w:rFonts w:hint="eastAsia"/>
          <w:lang w:bidi="zh-CN"/>
        </w:rPr>
        <w:t>其他奖励：年终评优、优秀辅导员、学费催费奖、宣传奖励等。</w:t>
      </w:r>
    </w:p>
    <w:p w14:paraId="76DD4251">
      <w:pPr>
        <w:ind w:firstLine="640"/>
        <w:rPr>
          <w:lang w:bidi="zh-CN"/>
        </w:rPr>
      </w:pPr>
      <w:r>
        <w:rPr>
          <w:rFonts w:hint="eastAsia"/>
          <w:lang w:bidi="zh-CN"/>
        </w:rPr>
        <w:t>学校根据专项奖励政策实施效果，进一步完善专项绩效奖励项目及办法，经批准后实施。</w:t>
      </w:r>
    </w:p>
    <w:p w14:paraId="21460355">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（二）</w:t>
      </w:r>
      <w:r>
        <w:rPr>
          <w:rFonts w:hint="eastAsia"/>
          <w:color w:val="auto"/>
        </w:rPr>
        <w:t>月度绩效</w:t>
      </w:r>
    </w:p>
    <w:p w14:paraId="15FA888E">
      <w:pPr>
        <w:ind w:firstLine="640"/>
      </w:pPr>
      <w:r>
        <w:rPr>
          <w:rFonts w:hint="eastAsia"/>
        </w:rPr>
        <w:t>按月度兑现的绩效，包括但不限于月薪制人员的月度绩效、辅导员津贴、班主任津贴，月度绩效标准主要依据岗位和职级核定，纳入预算。下放至二级单位，按月度业绩兑现详见《武汉工商学院薪酬管理办法(2021版)》。</w:t>
      </w:r>
    </w:p>
    <w:p w14:paraId="47557DA9">
      <w:pPr>
        <w:pStyle w:val="3"/>
        <w:numPr>
          <w:numId w:val="0"/>
        </w:numPr>
        <w:ind w:firstLine="643" w:firstLineChars="200"/>
        <w:rPr>
          <w:rFonts w:hint="eastAsia" w:ascii="楷体_GB2312" w:hAnsi="楷体_GB2312" w:eastAsia="楷体_GB2312" w:cs="楷体_GB2312"/>
          <w:color w:val="auto"/>
        </w:rPr>
      </w:pPr>
      <w:r>
        <w:rPr>
          <w:rFonts w:hint="eastAsia" w:ascii="楷体_GB2312" w:hAnsi="楷体_GB2312" w:eastAsia="楷体_GB2312" w:cs="楷体_GB2312"/>
          <w:b/>
          <w:bCs/>
          <w:color w:val="auto"/>
          <w:kern w:val="2"/>
          <w:sz w:val="32"/>
          <w:szCs w:val="32"/>
          <w:lang w:val="en-US" w:eastAsia="zh-CN" w:bidi="ar-SA"/>
        </w:rPr>
        <w:t>（三）</w:t>
      </w:r>
      <w:r>
        <w:rPr>
          <w:rFonts w:hint="eastAsia" w:hAnsi="楷体_GB2312" w:cs="楷体_GB2312"/>
          <w:color w:val="auto"/>
        </w:rPr>
        <w:t>年终绩</w:t>
      </w:r>
      <w:bookmarkStart w:id="10" w:name="_GoBack"/>
      <w:bookmarkEnd w:id="10"/>
      <w:r>
        <w:rPr>
          <w:rFonts w:hint="eastAsia" w:hAnsi="楷体_GB2312" w:cs="楷体_GB2312"/>
          <w:color w:val="auto"/>
        </w:rPr>
        <w:t>效</w:t>
      </w:r>
    </w:p>
    <w:p w14:paraId="35C2A093">
      <w:pPr>
        <w:ind w:firstLine="640"/>
      </w:pPr>
      <w:r>
        <w:rPr>
          <w:rFonts w:hint="eastAsia"/>
        </w:rPr>
        <w:t xml:space="preserve">董事会对学校 KPI 绩效和专项绩效:关键业绩指标 KPI，包括招生排名、招生规模、英语四级通过率、升学率、新生报到率、综合缴费率等。专项绩效包括科研项目、湖北省高等学校人文社会科学重点研究基地、现代产业学院、学校排名、国际合作项目、国家级一流本科课程等专门项目。 </w:t>
      </w:r>
    </w:p>
    <w:p w14:paraId="0696FBA0">
      <w:pPr>
        <w:ind w:firstLine="640"/>
      </w:pPr>
      <w:r>
        <w:rPr>
          <w:rFonts w:hint="eastAsia"/>
        </w:rPr>
        <w:t>董事会根据学校各阶段目标设定考核、兑现，由校务会统筹分配。</w:t>
      </w:r>
    </w:p>
    <w:p w14:paraId="693FE2E4">
      <w:pPr>
        <w:pStyle w:val="2"/>
        <w:numPr>
          <w:numId w:val="0"/>
        </w:numPr>
        <w:ind w:firstLine="640" w:firstLineChars="200"/>
      </w:pPr>
      <w:r>
        <w:rPr>
          <w:rFonts w:hint="eastAsia" w:ascii="黑体" w:eastAsia="黑体" w:hAnsiTheme="minorHAnsi" w:cstheme="minorBidi"/>
          <w:bCs/>
          <w:kern w:val="44"/>
          <w:sz w:val="32"/>
          <w:szCs w:val="44"/>
          <w:lang w:val="en-US" w:eastAsia="zh-CN" w:bidi="ar-SA"/>
        </w:rPr>
        <w:t>七、</w:t>
      </w:r>
      <w:r>
        <w:rPr>
          <w:rFonts w:hint="eastAsia"/>
        </w:rPr>
        <w:t>附则</w:t>
      </w:r>
    </w:p>
    <w:p w14:paraId="52F046C1">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（一）</w:t>
      </w:r>
      <w:r>
        <w:rPr>
          <w:rFonts w:hint="eastAsia"/>
          <w:color w:val="auto"/>
        </w:rPr>
        <w:t>本办法自2</w:t>
      </w:r>
      <w:r>
        <w:rPr>
          <w:color w:val="auto"/>
        </w:rPr>
        <w:t>025</w:t>
      </w:r>
      <w:r>
        <w:rPr>
          <w:rFonts w:hint="eastAsia"/>
          <w:color w:val="auto"/>
        </w:rPr>
        <w:t>年1月1日起施行，具体事宜以202</w:t>
      </w:r>
      <w:r>
        <w:rPr>
          <w:color w:val="auto"/>
        </w:rPr>
        <w:t>5</w:t>
      </w:r>
      <w:r>
        <w:rPr>
          <w:rFonts w:hint="eastAsia"/>
          <w:color w:val="auto"/>
        </w:rPr>
        <w:t>年底发布的考核通知为准。</w:t>
      </w:r>
    </w:p>
    <w:p w14:paraId="66D7329A">
      <w:pPr>
        <w:pStyle w:val="3"/>
        <w:numPr>
          <w:numId w:val="0"/>
        </w:numPr>
        <w:ind w:firstLine="643" w:firstLineChars="200"/>
        <w:rPr>
          <w:color w:val="auto"/>
        </w:rPr>
      </w:pPr>
      <w:r>
        <w:rPr>
          <w:rFonts w:hint="eastAsia" w:ascii="楷体_GB2312" w:eastAsia="楷体_GB2312" w:hAnsiTheme="majorHAnsi" w:cstheme="majorBidi"/>
          <w:b/>
          <w:bCs/>
          <w:color w:val="auto"/>
          <w:kern w:val="2"/>
          <w:sz w:val="32"/>
          <w:szCs w:val="32"/>
          <w:lang w:val="en-US" w:eastAsia="zh-CN" w:bidi="ar-SA"/>
        </w:rPr>
        <w:t>（二）</w:t>
      </w:r>
      <w:r>
        <w:rPr>
          <w:rFonts w:hint="eastAsia"/>
          <w:color w:val="auto"/>
        </w:rPr>
        <w:t>本办法由校绩效考核办公室负责解释。</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AAC9">
    <w:pPr>
      <w:pStyle w:val="10"/>
      <w:wordWrap w:val="0"/>
      <w:ind w:left="720" w:right="180" w:firstLine="0" w:firstLineChars="0"/>
      <w:jc w:val="right"/>
      <w:rPr>
        <w:rFonts w:hint="eastAsia" w:ascii="宋体" w:hAnsi="宋体" w:eastAsia="宋体"/>
        <w:sz w:val="28"/>
        <w:szCs w:val="28"/>
      </w:rPr>
    </w:pPr>
    <w:r>
      <w:rPr>
        <w:rFonts w:ascii="宋体" w:hAnsi="宋体" w:eastAsia="宋体"/>
        <w:sz w:val="28"/>
        <w:szCs w:val="28"/>
      </w:rPr>
      <w:t xml:space="preserve">— </w:t>
    </w:r>
    <w:sdt>
      <w:sdtPr>
        <w:id w:val="1237357665"/>
        <w:docPartObj>
          <w:docPartGallery w:val="AutoText"/>
        </w:docPartObj>
      </w:sdtPr>
      <w:sdtEndPr>
        <w:rPr>
          <w:rFonts w:ascii="宋体" w:hAnsi="宋体" w:eastAsia="宋体"/>
          <w:sz w:val="28"/>
          <w:szCs w:val="28"/>
        </w:rPr>
      </w:sdtEndPr>
      <w:sdtContent>
        <w:r>
          <w:rPr>
            <w:rFonts w:ascii="宋体" w:hAnsi="宋体" w:eastAsia="宋体"/>
            <w:b/>
            <w:bCs/>
            <w:sz w:val="28"/>
            <w:szCs w:val="28"/>
          </w:rPr>
          <w:fldChar w:fldCharType="begin"/>
        </w:r>
        <w:r>
          <w:rPr>
            <w:rFonts w:ascii="宋体" w:hAnsi="宋体" w:eastAsia="宋体"/>
            <w:b/>
            <w:bCs/>
            <w:sz w:val="28"/>
            <w:szCs w:val="28"/>
          </w:rPr>
          <w:instrText xml:space="preserve">PAGE   \* MERGEFORMAT</w:instrText>
        </w:r>
        <w:r>
          <w:rPr>
            <w:rFonts w:ascii="宋体" w:hAnsi="宋体" w:eastAsia="宋体"/>
            <w:b/>
            <w:bCs/>
            <w:sz w:val="28"/>
            <w:szCs w:val="28"/>
          </w:rPr>
          <w:fldChar w:fldCharType="separate"/>
        </w:r>
        <w:r>
          <w:rPr>
            <w:rFonts w:hint="eastAsia" w:ascii="宋体" w:hAnsi="宋体" w:eastAsia="宋体"/>
            <w:b/>
            <w:bCs/>
            <w:sz w:val="28"/>
            <w:szCs w:val="28"/>
          </w:rPr>
          <w:t>11</w:t>
        </w:r>
        <w:r>
          <w:rPr>
            <w:rFonts w:ascii="宋体" w:hAnsi="宋体" w:eastAsia="宋体"/>
            <w:b/>
            <w:bCs/>
            <w:sz w:val="28"/>
            <w:szCs w:val="28"/>
          </w:rPr>
          <w:fldChar w:fldCharType="end"/>
        </w:r>
      </w:sdtContent>
    </w:sdt>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E47F">
    <w:pPr>
      <w:pStyle w:val="10"/>
      <w:ind w:firstLine="0" w:firstLineChars="0"/>
      <w:rPr>
        <w:rFonts w:hint="eastAsia" w:ascii="宋体" w:hAnsi="宋体" w:eastAsia="宋体"/>
        <w:sz w:val="28"/>
        <w:szCs w:val="28"/>
      </w:rPr>
    </w:pPr>
    <w:r>
      <w:rPr>
        <w:rFonts w:ascii="宋体" w:hAnsi="宋体" w:eastAsia="宋体"/>
        <w:sz w:val="28"/>
        <w:szCs w:val="28"/>
      </w:rPr>
      <w:t xml:space="preserve">— </w:t>
    </w:r>
    <w:sdt>
      <w:sdtPr>
        <w:id w:val="1755931946"/>
        <w:docPartObj>
          <w:docPartGallery w:val="AutoText"/>
        </w:docPartObj>
      </w:sdtPr>
      <w:sdtEndPr>
        <w:rPr>
          <w:rFonts w:ascii="宋体" w:hAnsi="宋体" w:eastAsia="宋体"/>
          <w:sz w:val="28"/>
          <w:szCs w:val="28"/>
        </w:rPr>
      </w:sdtEndPr>
      <w:sdtContent>
        <w:r>
          <w:rPr>
            <w:rFonts w:ascii="宋体" w:hAnsi="宋体" w:eastAsia="宋体"/>
            <w:b/>
            <w:bCs/>
            <w:sz w:val="28"/>
            <w:szCs w:val="28"/>
          </w:rPr>
          <w:fldChar w:fldCharType="begin"/>
        </w:r>
        <w:r>
          <w:rPr>
            <w:rFonts w:ascii="宋体" w:hAnsi="宋体" w:eastAsia="宋体"/>
            <w:b/>
            <w:bCs/>
            <w:sz w:val="28"/>
            <w:szCs w:val="28"/>
          </w:rPr>
          <w:instrText xml:space="preserve">PAGE   \* MERGEFORMAT</w:instrText>
        </w:r>
        <w:r>
          <w:rPr>
            <w:rFonts w:ascii="宋体" w:hAnsi="宋体" w:eastAsia="宋体"/>
            <w:b/>
            <w:bCs/>
            <w:sz w:val="28"/>
            <w:szCs w:val="28"/>
          </w:rPr>
          <w:fldChar w:fldCharType="separate"/>
        </w:r>
        <w:r>
          <w:rPr>
            <w:rFonts w:hint="eastAsia" w:ascii="宋体" w:hAnsi="宋体" w:eastAsia="宋体"/>
            <w:b/>
            <w:bCs/>
            <w:sz w:val="28"/>
            <w:szCs w:val="28"/>
          </w:rPr>
          <w:t>12</w:t>
        </w:r>
        <w:r>
          <w:rPr>
            <w:rFonts w:ascii="宋体" w:hAnsi="宋体" w:eastAsia="宋体"/>
            <w:b/>
            <w:bCs/>
            <w:sz w:val="28"/>
            <w:szCs w:val="28"/>
          </w:rPr>
          <w:fldChar w:fldCharType="end"/>
        </w:r>
        <w:r>
          <w:rPr>
            <w:rFonts w:ascii="宋体" w:hAnsi="宋体" w:eastAsia="宋体"/>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B0496">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B866">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36B7">
    <w:pPr>
      <w:tabs>
        <w:tab w:val="left" w:pos="2880"/>
      </w:tabs>
      <w:ind w:firstLine="64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C3D81">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86594"/>
    <w:multiLevelType w:val="singleLevel"/>
    <w:tmpl w:val="94786594"/>
    <w:lvl w:ilvl="0" w:tentative="0">
      <w:start w:val="1"/>
      <w:numFmt w:val="decimal"/>
      <w:suff w:val="space"/>
      <w:lvlText w:val="%1."/>
      <w:lvlJc w:val="left"/>
    </w:lvl>
  </w:abstractNum>
  <w:abstractNum w:abstractNumId="1">
    <w:nsid w:val="9A47CE65"/>
    <w:multiLevelType w:val="singleLevel"/>
    <w:tmpl w:val="9A47CE65"/>
    <w:lvl w:ilvl="0" w:tentative="0">
      <w:start w:val="2"/>
      <w:numFmt w:val="decimal"/>
      <w:suff w:val="space"/>
      <w:lvlText w:val="%1."/>
      <w:lvlJc w:val="left"/>
    </w:lvl>
  </w:abstractNum>
  <w:abstractNum w:abstractNumId="2">
    <w:nsid w:val="D9705407"/>
    <w:multiLevelType w:val="singleLevel"/>
    <w:tmpl w:val="D9705407"/>
    <w:lvl w:ilvl="0" w:tentative="0">
      <w:start w:val="1"/>
      <w:numFmt w:val="decimal"/>
      <w:suff w:val="space"/>
      <w:lvlText w:val="%1."/>
      <w:lvlJc w:val="left"/>
    </w:lvl>
  </w:abstractNum>
  <w:abstractNum w:abstractNumId="3">
    <w:nsid w:val="FB564093"/>
    <w:multiLevelType w:val="singleLevel"/>
    <w:tmpl w:val="FB564093"/>
    <w:lvl w:ilvl="0" w:tentative="0">
      <w:start w:val="1"/>
      <w:numFmt w:val="decimal"/>
      <w:suff w:val="space"/>
      <w:lvlText w:val="%1."/>
      <w:lvlJc w:val="left"/>
    </w:lvl>
  </w:abstractNum>
  <w:abstractNum w:abstractNumId="4">
    <w:nsid w:val="13851C8E"/>
    <w:multiLevelType w:val="multilevel"/>
    <w:tmpl w:val="13851C8E"/>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pStyle w:val="3"/>
      <w:suff w:val="space"/>
      <w:lvlText w:val="（%2）"/>
      <w:lvlJc w:val="left"/>
      <w:pPr>
        <w:ind w:left="0" w:firstLine="0"/>
      </w:pPr>
      <w:rPr>
        <w:rFonts w:hint="eastAsia"/>
      </w:rPr>
    </w:lvl>
    <w:lvl w:ilvl="2" w:tentative="0">
      <w:start w:val="1"/>
      <w:numFmt w:val="decimal"/>
      <w:pStyle w:val="4"/>
      <w:suff w:val="space"/>
      <w:lvlText w:val="%3."/>
      <w:lvlJc w:val="left"/>
      <w:pPr>
        <w:ind w:left="0" w:firstLine="0"/>
      </w:pPr>
      <w:rPr>
        <w:rFonts w:hint="eastAsia"/>
      </w:rPr>
    </w:lvl>
    <w:lvl w:ilvl="3" w:tentative="0">
      <w:start w:val="1"/>
      <w:numFmt w:val="decimal"/>
      <w:pStyle w:val="5"/>
      <w:suff w:val="space"/>
      <w:lvlText w:val="（%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366987A6"/>
    <w:multiLevelType w:val="singleLevel"/>
    <w:tmpl w:val="366987A6"/>
    <w:lvl w:ilvl="0" w:tentative="0">
      <w:start w:val="2"/>
      <w:numFmt w:val="decimal"/>
      <w:suff w:val="space"/>
      <w:lvlText w:val="%1."/>
      <w:lvlJc w:val="left"/>
    </w:lvl>
  </w:abstractNum>
  <w:abstractNum w:abstractNumId="6">
    <w:nsid w:val="6311ACDF"/>
    <w:multiLevelType w:val="singleLevel"/>
    <w:tmpl w:val="6311ACDF"/>
    <w:lvl w:ilvl="0" w:tentative="0">
      <w:start w:val="2"/>
      <w:numFmt w:val="decimal"/>
      <w:suff w:val="space"/>
      <w:lvlText w:val="%1."/>
      <w:lvlJc w:val="left"/>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dit="forms"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mODM2MzFhZmY1NTkzZWIyOGExYmNjOTYzODM4YmYifQ=="/>
    <w:docVar w:name="KGWebUrl" w:val="https://oa.wtbu.edu.cn/seeyon/officeservlet"/>
  </w:docVars>
  <w:rsids>
    <w:rsidRoot w:val="00153650"/>
    <w:rsid w:val="00000CE0"/>
    <w:rsid w:val="00006CD9"/>
    <w:rsid w:val="0004175E"/>
    <w:rsid w:val="00056BBF"/>
    <w:rsid w:val="0006168E"/>
    <w:rsid w:val="00071889"/>
    <w:rsid w:val="000728CB"/>
    <w:rsid w:val="000871E7"/>
    <w:rsid w:val="00087750"/>
    <w:rsid w:val="000B4832"/>
    <w:rsid w:val="000D2831"/>
    <w:rsid w:val="000D5540"/>
    <w:rsid w:val="000E79E6"/>
    <w:rsid w:val="000F5304"/>
    <w:rsid w:val="000F604B"/>
    <w:rsid w:val="00120FB4"/>
    <w:rsid w:val="00130E06"/>
    <w:rsid w:val="00131A66"/>
    <w:rsid w:val="00153650"/>
    <w:rsid w:val="00155BB1"/>
    <w:rsid w:val="00182ACD"/>
    <w:rsid w:val="00186793"/>
    <w:rsid w:val="001936DE"/>
    <w:rsid w:val="00193D0C"/>
    <w:rsid w:val="00196624"/>
    <w:rsid w:val="001B70EB"/>
    <w:rsid w:val="0023011C"/>
    <w:rsid w:val="002405FF"/>
    <w:rsid w:val="00240738"/>
    <w:rsid w:val="0026022F"/>
    <w:rsid w:val="002617A6"/>
    <w:rsid w:val="00264632"/>
    <w:rsid w:val="00272F61"/>
    <w:rsid w:val="002B1115"/>
    <w:rsid w:val="002B5343"/>
    <w:rsid w:val="002D71A4"/>
    <w:rsid w:val="002E1AC9"/>
    <w:rsid w:val="002E20A3"/>
    <w:rsid w:val="002F1D6B"/>
    <w:rsid w:val="003013EF"/>
    <w:rsid w:val="003553E2"/>
    <w:rsid w:val="00360EBB"/>
    <w:rsid w:val="0037089F"/>
    <w:rsid w:val="0037216D"/>
    <w:rsid w:val="003A2938"/>
    <w:rsid w:val="003A3203"/>
    <w:rsid w:val="003C64BA"/>
    <w:rsid w:val="003C661F"/>
    <w:rsid w:val="003D24F3"/>
    <w:rsid w:val="003D66AB"/>
    <w:rsid w:val="003D78BF"/>
    <w:rsid w:val="003E498A"/>
    <w:rsid w:val="00400D83"/>
    <w:rsid w:val="00405CA3"/>
    <w:rsid w:val="004175E5"/>
    <w:rsid w:val="004337D0"/>
    <w:rsid w:val="00490C80"/>
    <w:rsid w:val="004B4306"/>
    <w:rsid w:val="004F6EE3"/>
    <w:rsid w:val="00502777"/>
    <w:rsid w:val="005149F1"/>
    <w:rsid w:val="005241BD"/>
    <w:rsid w:val="00524C6F"/>
    <w:rsid w:val="005344AE"/>
    <w:rsid w:val="00542D86"/>
    <w:rsid w:val="00546E0B"/>
    <w:rsid w:val="005675A4"/>
    <w:rsid w:val="00570D9E"/>
    <w:rsid w:val="00577292"/>
    <w:rsid w:val="0058295A"/>
    <w:rsid w:val="005A404D"/>
    <w:rsid w:val="005B16EC"/>
    <w:rsid w:val="005E230C"/>
    <w:rsid w:val="006026A2"/>
    <w:rsid w:val="00611033"/>
    <w:rsid w:val="006165E6"/>
    <w:rsid w:val="006246B9"/>
    <w:rsid w:val="0062732F"/>
    <w:rsid w:val="00635075"/>
    <w:rsid w:val="0063583D"/>
    <w:rsid w:val="006542BE"/>
    <w:rsid w:val="00667154"/>
    <w:rsid w:val="00686DEB"/>
    <w:rsid w:val="00692A05"/>
    <w:rsid w:val="006A6E6A"/>
    <w:rsid w:val="006B0B2E"/>
    <w:rsid w:val="006C576A"/>
    <w:rsid w:val="006E2086"/>
    <w:rsid w:val="007325BC"/>
    <w:rsid w:val="007356D6"/>
    <w:rsid w:val="00735EDF"/>
    <w:rsid w:val="00751EF1"/>
    <w:rsid w:val="007625E7"/>
    <w:rsid w:val="0076565E"/>
    <w:rsid w:val="00770411"/>
    <w:rsid w:val="00774C08"/>
    <w:rsid w:val="007853D5"/>
    <w:rsid w:val="0079565C"/>
    <w:rsid w:val="0079579B"/>
    <w:rsid w:val="007A13AE"/>
    <w:rsid w:val="007C7718"/>
    <w:rsid w:val="007F6A09"/>
    <w:rsid w:val="008010F5"/>
    <w:rsid w:val="0080454D"/>
    <w:rsid w:val="0080785D"/>
    <w:rsid w:val="008244B7"/>
    <w:rsid w:val="008B5A62"/>
    <w:rsid w:val="00916494"/>
    <w:rsid w:val="00936018"/>
    <w:rsid w:val="009B132A"/>
    <w:rsid w:val="009C6F15"/>
    <w:rsid w:val="00A0315A"/>
    <w:rsid w:val="00A523F0"/>
    <w:rsid w:val="00A7190D"/>
    <w:rsid w:val="00A75417"/>
    <w:rsid w:val="00A83B33"/>
    <w:rsid w:val="00A96FA3"/>
    <w:rsid w:val="00AA56BE"/>
    <w:rsid w:val="00AA62B7"/>
    <w:rsid w:val="00AB46E2"/>
    <w:rsid w:val="00AD1565"/>
    <w:rsid w:val="00AD48A2"/>
    <w:rsid w:val="00AD581C"/>
    <w:rsid w:val="00AD6FE4"/>
    <w:rsid w:val="00AF02A3"/>
    <w:rsid w:val="00AF02AE"/>
    <w:rsid w:val="00AF0DF8"/>
    <w:rsid w:val="00B05B80"/>
    <w:rsid w:val="00B13AE7"/>
    <w:rsid w:val="00B23684"/>
    <w:rsid w:val="00B5558C"/>
    <w:rsid w:val="00B77D21"/>
    <w:rsid w:val="00B824BA"/>
    <w:rsid w:val="00B86B11"/>
    <w:rsid w:val="00BC7D33"/>
    <w:rsid w:val="00BD19FD"/>
    <w:rsid w:val="00BD76D0"/>
    <w:rsid w:val="00BE1894"/>
    <w:rsid w:val="00C03417"/>
    <w:rsid w:val="00C26F28"/>
    <w:rsid w:val="00C3444E"/>
    <w:rsid w:val="00C34A3A"/>
    <w:rsid w:val="00C3666C"/>
    <w:rsid w:val="00C43CD7"/>
    <w:rsid w:val="00C501B5"/>
    <w:rsid w:val="00C51650"/>
    <w:rsid w:val="00C92B46"/>
    <w:rsid w:val="00C967BA"/>
    <w:rsid w:val="00CB26BC"/>
    <w:rsid w:val="00CB37A6"/>
    <w:rsid w:val="00CC5133"/>
    <w:rsid w:val="00CD0BF5"/>
    <w:rsid w:val="00CD44EE"/>
    <w:rsid w:val="00CE28A3"/>
    <w:rsid w:val="00CF1049"/>
    <w:rsid w:val="00CF453A"/>
    <w:rsid w:val="00D0065F"/>
    <w:rsid w:val="00D04AA4"/>
    <w:rsid w:val="00D1368D"/>
    <w:rsid w:val="00D15064"/>
    <w:rsid w:val="00D46622"/>
    <w:rsid w:val="00D5159A"/>
    <w:rsid w:val="00D73845"/>
    <w:rsid w:val="00D93312"/>
    <w:rsid w:val="00DC2D6C"/>
    <w:rsid w:val="00DF4D8D"/>
    <w:rsid w:val="00DF6287"/>
    <w:rsid w:val="00E11F4D"/>
    <w:rsid w:val="00E15CEB"/>
    <w:rsid w:val="00E2003A"/>
    <w:rsid w:val="00E22374"/>
    <w:rsid w:val="00E30EC4"/>
    <w:rsid w:val="00E31426"/>
    <w:rsid w:val="00E31B0B"/>
    <w:rsid w:val="00E33DE6"/>
    <w:rsid w:val="00E466D4"/>
    <w:rsid w:val="00E65207"/>
    <w:rsid w:val="00E66BE1"/>
    <w:rsid w:val="00E71A21"/>
    <w:rsid w:val="00EA483F"/>
    <w:rsid w:val="00EB05EC"/>
    <w:rsid w:val="00EC5DA7"/>
    <w:rsid w:val="00ED51E8"/>
    <w:rsid w:val="00EF66B3"/>
    <w:rsid w:val="00F11041"/>
    <w:rsid w:val="00F17D2D"/>
    <w:rsid w:val="00F17F61"/>
    <w:rsid w:val="00F4106F"/>
    <w:rsid w:val="00F41471"/>
    <w:rsid w:val="00F4752B"/>
    <w:rsid w:val="00F769FC"/>
    <w:rsid w:val="00FB6B57"/>
    <w:rsid w:val="00FD54EC"/>
    <w:rsid w:val="00FE27FD"/>
    <w:rsid w:val="00FE6525"/>
    <w:rsid w:val="00FF4F45"/>
    <w:rsid w:val="0353736D"/>
    <w:rsid w:val="09901E83"/>
    <w:rsid w:val="0D6D436D"/>
    <w:rsid w:val="0F6452D8"/>
    <w:rsid w:val="107D6CE5"/>
    <w:rsid w:val="11987B90"/>
    <w:rsid w:val="13163120"/>
    <w:rsid w:val="139C112D"/>
    <w:rsid w:val="191C4C03"/>
    <w:rsid w:val="1A976C37"/>
    <w:rsid w:val="1E7E7476"/>
    <w:rsid w:val="2333139F"/>
    <w:rsid w:val="24A652A4"/>
    <w:rsid w:val="264A3399"/>
    <w:rsid w:val="29626662"/>
    <w:rsid w:val="2DEA131C"/>
    <w:rsid w:val="30A65852"/>
    <w:rsid w:val="36FB00F6"/>
    <w:rsid w:val="38670D13"/>
    <w:rsid w:val="41A575DC"/>
    <w:rsid w:val="43577CA9"/>
    <w:rsid w:val="47F712D1"/>
    <w:rsid w:val="4C3F4944"/>
    <w:rsid w:val="4D926C66"/>
    <w:rsid w:val="547F056C"/>
    <w:rsid w:val="549E05E7"/>
    <w:rsid w:val="55477389"/>
    <w:rsid w:val="5D186A5C"/>
    <w:rsid w:val="5EF30685"/>
    <w:rsid w:val="6105554A"/>
    <w:rsid w:val="63ED05A6"/>
    <w:rsid w:val="640D1E0E"/>
    <w:rsid w:val="64DD2A65"/>
    <w:rsid w:val="678E29B8"/>
    <w:rsid w:val="679B09B6"/>
    <w:rsid w:val="679F7252"/>
    <w:rsid w:val="690B7B10"/>
    <w:rsid w:val="69C449BF"/>
    <w:rsid w:val="6A955B90"/>
    <w:rsid w:val="6B354569"/>
    <w:rsid w:val="6B4610E1"/>
    <w:rsid w:val="6EF430B0"/>
    <w:rsid w:val="707C4FC3"/>
    <w:rsid w:val="71DE7E1D"/>
    <w:rsid w:val="73FB071E"/>
    <w:rsid w:val="786C577D"/>
    <w:rsid w:val="7AE91D0C"/>
    <w:rsid w:val="7BA546EB"/>
    <w:rsid w:val="7DF804D1"/>
    <w:rsid w:val="7E1A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60" w:lineRule="exact"/>
      <w:ind w:firstLine="200" w:firstLineChars="200"/>
      <w:jc w:val="both"/>
    </w:pPr>
    <w:rPr>
      <w:rFonts w:ascii="仿宋_GB2312" w:eastAsia="仿宋_GB2312" w:hAnsiTheme="minorHAnsi" w:cstheme="minorBidi"/>
      <w:kern w:val="2"/>
      <w:sz w:val="32"/>
      <w:szCs w:val="22"/>
      <w:lang w:val="en-US" w:eastAsia="zh-CN" w:bidi="ar-SA"/>
    </w:rPr>
  </w:style>
  <w:style w:type="paragraph" w:styleId="2">
    <w:name w:val="heading 1"/>
    <w:basedOn w:val="1"/>
    <w:next w:val="1"/>
    <w:link w:val="25"/>
    <w:autoRedefine/>
    <w:qFormat/>
    <w:uiPriority w:val="9"/>
    <w:pPr>
      <w:numPr>
        <w:ilvl w:val="0"/>
        <w:numId w:val="1"/>
      </w:numPr>
      <w:ind w:firstLine="640"/>
      <w:outlineLvl w:val="0"/>
    </w:pPr>
    <w:rPr>
      <w:rFonts w:ascii="黑体" w:eastAsia="黑体"/>
      <w:bCs/>
      <w:kern w:val="44"/>
      <w:szCs w:val="44"/>
    </w:rPr>
  </w:style>
  <w:style w:type="paragraph" w:styleId="3">
    <w:name w:val="heading 2"/>
    <w:basedOn w:val="1"/>
    <w:next w:val="1"/>
    <w:link w:val="26"/>
    <w:autoRedefine/>
    <w:unhideWhenUsed/>
    <w:qFormat/>
    <w:uiPriority w:val="9"/>
    <w:pPr>
      <w:numPr>
        <w:ilvl w:val="1"/>
        <w:numId w:val="1"/>
      </w:numPr>
      <w:ind w:firstLine="643"/>
      <w:outlineLvl w:val="1"/>
    </w:pPr>
    <w:rPr>
      <w:rFonts w:ascii="楷体_GB2312" w:eastAsia="楷体_GB2312" w:hAnsiTheme="majorHAnsi" w:cstheme="majorBidi"/>
      <w:b/>
      <w:bCs/>
      <w:color w:val="FF0000"/>
      <w:szCs w:val="32"/>
    </w:rPr>
  </w:style>
  <w:style w:type="paragraph" w:styleId="4">
    <w:name w:val="heading 3"/>
    <w:basedOn w:val="1"/>
    <w:next w:val="1"/>
    <w:link w:val="27"/>
    <w:autoRedefine/>
    <w:unhideWhenUsed/>
    <w:qFormat/>
    <w:uiPriority w:val="9"/>
    <w:pPr>
      <w:keepNext/>
      <w:keepLines/>
      <w:numPr>
        <w:ilvl w:val="2"/>
        <w:numId w:val="1"/>
      </w:numPr>
      <w:ind w:firstLine="200"/>
      <w:outlineLvl w:val="2"/>
    </w:pPr>
    <w:rPr>
      <w:b/>
      <w:bCs/>
      <w:szCs w:val="32"/>
    </w:rPr>
  </w:style>
  <w:style w:type="paragraph" w:styleId="5">
    <w:name w:val="heading 4"/>
    <w:basedOn w:val="1"/>
    <w:next w:val="1"/>
    <w:link w:val="28"/>
    <w:autoRedefine/>
    <w:unhideWhenUsed/>
    <w:qFormat/>
    <w:uiPriority w:val="9"/>
    <w:pPr>
      <w:keepNext/>
      <w:keepLines/>
      <w:numPr>
        <w:ilvl w:val="3"/>
        <w:numId w:val="1"/>
      </w:numPr>
      <w:ind w:firstLineChars="0"/>
      <w:jc w:val="left"/>
      <w:outlineLvl w:val="3"/>
    </w:pPr>
    <w:rPr>
      <w:rFonts w:hAnsiTheme="majorHAnsi" w:cstheme="majorBidi"/>
      <w:b/>
      <w:bCs/>
      <w:szCs w:val="28"/>
    </w:rPr>
  </w:style>
  <w:style w:type="paragraph" w:styleId="6">
    <w:name w:val="heading 5"/>
    <w:basedOn w:val="1"/>
    <w:next w:val="1"/>
    <w:link w:val="30"/>
    <w:semiHidden/>
    <w:unhideWhenUsed/>
    <w:qFormat/>
    <w:uiPriority w:val="9"/>
    <w:pPr>
      <w:keepNext/>
      <w:keepLines/>
      <w:outlineLvl w:val="4"/>
    </w:pPr>
    <w:rPr>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35"/>
    <w:pPr>
      <w:keepNext/>
      <w:spacing w:line="240" w:lineRule="atLeast"/>
      <w:ind w:firstLine="0" w:firstLineChars="0"/>
      <w:jc w:val="center"/>
    </w:pPr>
    <w:rPr>
      <w:rFonts w:eastAsia="黑体" w:asciiTheme="majorHAnsi" w:hAnsiTheme="majorHAnsi" w:cstheme="majorBidi"/>
      <w:sz w:val="20"/>
      <w:szCs w:val="20"/>
    </w:rPr>
  </w:style>
  <w:style w:type="paragraph" w:styleId="8">
    <w:name w:val="annotation text"/>
    <w:basedOn w:val="1"/>
    <w:link w:val="20"/>
    <w:autoRedefine/>
    <w:semiHidden/>
    <w:unhideWhenUsed/>
    <w:qFormat/>
    <w:uiPriority w:val="99"/>
    <w:pPr>
      <w:jc w:val="left"/>
    </w:pPr>
  </w:style>
  <w:style w:type="paragraph" w:styleId="9">
    <w:name w:val="Balloon Text"/>
    <w:basedOn w:val="1"/>
    <w:link w:val="31"/>
    <w:semiHidden/>
    <w:unhideWhenUsed/>
    <w:qFormat/>
    <w:uiPriority w:val="99"/>
    <w:pPr>
      <w:spacing w:line="240" w:lineRule="auto"/>
    </w:pPr>
    <w:rPr>
      <w:sz w:val="18"/>
      <w:szCs w:val="18"/>
    </w:rPr>
  </w:style>
  <w:style w:type="paragraph" w:styleId="10">
    <w:name w:val="footer"/>
    <w:basedOn w:val="1"/>
    <w:link w:val="23"/>
    <w:autoRedefine/>
    <w:unhideWhenUsed/>
    <w:qFormat/>
    <w:uiPriority w:val="99"/>
    <w:pPr>
      <w:tabs>
        <w:tab w:val="center" w:pos="4153"/>
        <w:tab w:val="right" w:pos="8306"/>
      </w:tabs>
      <w:jc w:val="left"/>
    </w:pPr>
    <w:rPr>
      <w:sz w:val="18"/>
      <w:szCs w:val="18"/>
    </w:rPr>
  </w:style>
  <w:style w:type="paragraph" w:styleId="11">
    <w:name w:val="header"/>
    <w:basedOn w:val="1"/>
    <w:link w:val="22"/>
    <w:autoRedefine/>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4"/>
    <w:autoRedefine/>
    <w:qFormat/>
    <w:uiPriority w:val="10"/>
    <w:pPr>
      <w:spacing w:after="100" w:afterLines="100" w:line="700" w:lineRule="exact"/>
      <w:ind w:firstLine="0" w:firstLineChars="0"/>
      <w:jc w:val="center"/>
      <w:outlineLvl w:val="0"/>
    </w:pPr>
    <w:rPr>
      <w:rFonts w:ascii="方正小标宋简体" w:eastAsia="方正小标宋简体" w:hAnsiTheme="majorHAnsi" w:cstheme="majorBidi"/>
      <w:bCs/>
      <w:sz w:val="44"/>
      <w:szCs w:val="32"/>
    </w:rPr>
  </w:style>
  <w:style w:type="paragraph" w:styleId="14">
    <w:name w:val="annotation subject"/>
    <w:basedOn w:val="8"/>
    <w:next w:val="8"/>
    <w:link w:val="21"/>
    <w:autoRedefine/>
    <w:semiHidden/>
    <w:unhideWhenUsed/>
    <w:qFormat/>
    <w:uiPriority w:val="99"/>
    <w:rPr>
      <w:b/>
      <w:bCs/>
    </w:rPr>
  </w:style>
  <w:style w:type="character" w:styleId="17">
    <w:name w:val="annotation reference"/>
    <w:basedOn w:val="16"/>
    <w:autoRedefine/>
    <w:semiHidden/>
    <w:unhideWhenUsed/>
    <w:qFormat/>
    <w:uiPriority w:val="99"/>
    <w:rPr>
      <w:sz w:val="21"/>
      <w:szCs w:val="21"/>
    </w:rPr>
  </w:style>
  <w:style w:type="paragraph" w:styleId="18">
    <w:name w:val="No Spacing"/>
    <w:autoRedefine/>
    <w:qFormat/>
    <w:uiPriority w:val="1"/>
    <w:pPr>
      <w:keepNext/>
      <w:widowControl w:val="0"/>
      <w:snapToGrid w:val="0"/>
      <w:spacing w:line="240" w:lineRule="atLeast"/>
      <w:jc w:val="center"/>
    </w:pPr>
    <w:rPr>
      <w:rFonts w:ascii="宋体" w:eastAsia="宋体" w:hAnsiTheme="minorHAnsi" w:cstheme="minorBidi"/>
      <w:kern w:val="2"/>
      <w:sz w:val="21"/>
      <w:szCs w:val="22"/>
      <w:lang w:val="en-US" w:eastAsia="zh-CN" w:bidi="ar-SA"/>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文字 字符"/>
    <w:basedOn w:val="16"/>
    <w:link w:val="8"/>
    <w:autoRedefine/>
    <w:semiHidden/>
    <w:qFormat/>
    <w:uiPriority w:val="99"/>
    <w:rPr>
      <w:kern w:val="2"/>
      <w:sz w:val="21"/>
      <w:szCs w:val="22"/>
    </w:rPr>
  </w:style>
  <w:style w:type="character" w:customStyle="1" w:styleId="21">
    <w:name w:val="批注主题 字符"/>
    <w:basedOn w:val="20"/>
    <w:link w:val="14"/>
    <w:autoRedefine/>
    <w:semiHidden/>
    <w:qFormat/>
    <w:uiPriority w:val="99"/>
    <w:rPr>
      <w:b/>
      <w:bCs/>
      <w:kern w:val="2"/>
      <w:sz w:val="21"/>
      <w:szCs w:val="22"/>
    </w:rPr>
  </w:style>
  <w:style w:type="character" w:customStyle="1" w:styleId="22">
    <w:name w:val="页眉 字符"/>
    <w:basedOn w:val="16"/>
    <w:link w:val="11"/>
    <w:autoRedefine/>
    <w:qFormat/>
    <w:uiPriority w:val="99"/>
    <w:rPr>
      <w:kern w:val="2"/>
      <w:sz w:val="18"/>
      <w:szCs w:val="18"/>
    </w:rPr>
  </w:style>
  <w:style w:type="character" w:customStyle="1" w:styleId="23">
    <w:name w:val="页脚 字符"/>
    <w:basedOn w:val="16"/>
    <w:link w:val="10"/>
    <w:autoRedefine/>
    <w:qFormat/>
    <w:uiPriority w:val="99"/>
    <w:rPr>
      <w:kern w:val="2"/>
      <w:sz w:val="18"/>
      <w:szCs w:val="18"/>
    </w:rPr>
  </w:style>
  <w:style w:type="character" w:customStyle="1" w:styleId="24">
    <w:name w:val="标题 字符"/>
    <w:basedOn w:val="16"/>
    <w:link w:val="13"/>
    <w:autoRedefine/>
    <w:qFormat/>
    <w:uiPriority w:val="10"/>
    <w:rPr>
      <w:rFonts w:ascii="方正小标宋简体" w:eastAsia="方正小标宋简体" w:hAnsiTheme="majorHAnsi" w:cstheme="majorBidi"/>
      <w:bCs/>
      <w:kern w:val="2"/>
      <w:sz w:val="44"/>
      <w:szCs w:val="32"/>
    </w:rPr>
  </w:style>
  <w:style w:type="character" w:customStyle="1" w:styleId="25">
    <w:name w:val="标题 1 字符"/>
    <w:basedOn w:val="16"/>
    <w:link w:val="2"/>
    <w:autoRedefine/>
    <w:qFormat/>
    <w:uiPriority w:val="9"/>
    <w:rPr>
      <w:rFonts w:ascii="黑体" w:eastAsia="黑体" w:hAnsiTheme="minorHAnsi" w:cstheme="minorBidi"/>
      <w:bCs/>
      <w:kern w:val="44"/>
      <w:sz w:val="32"/>
      <w:szCs w:val="44"/>
    </w:rPr>
  </w:style>
  <w:style w:type="character" w:customStyle="1" w:styleId="26">
    <w:name w:val="标题 2 字符"/>
    <w:basedOn w:val="16"/>
    <w:link w:val="3"/>
    <w:autoRedefine/>
    <w:qFormat/>
    <w:uiPriority w:val="9"/>
    <w:rPr>
      <w:rFonts w:ascii="楷体_GB2312" w:eastAsia="楷体_GB2312" w:hAnsiTheme="majorHAnsi" w:cstheme="majorBidi"/>
      <w:b/>
      <w:bCs/>
      <w:color w:val="FF0000"/>
      <w:kern w:val="2"/>
      <w:sz w:val="32"/>
      <w:szCs w:val="32"/>
    </w:rPr>
  </w:style>
  <w:style w:type="character" w:customStyle="1" w:styleId="27">
    <w:name w:val="标题 3 字符"/>
    <w:basedOn w:val="16"/>
    <w:link w:val="4"/>
    <w:autoRedefine/>
    <w:qFormat/>
    <w:uiPriority w:val="9"/>
    <w:rPr>
      <w:rFonts w:ascii="仿宋_GB2312" w:eastAsia="仿宋_GB2312" w:hAnsiTheme="minorHAnsi" w:cstheme="minorBidi"/>
      <w:b/>
      <w:bCs/>
      <w:kern w:val="2"/>
      <w:sz w:val="32"/>
      <w:szCs w:val="32"/>
    </w:rPr>
  </w:style>
  <w:style w:type="character" w:customStyle="1" w:styleId="28">
    <w:name w:val="标题 4 字符"/>
    <w:basedOn w:val="16"/>
    <w:link w:val="5"/>
    <w:autoRedefine/>
    <w:qFormat/>
    <w:uiPriority w:val="9"/>
    <w:rPr>
      <w:rFonts w:ascii="仿宋_GB2312" w:eastAsia="仿宋_GB2312" w:hAnsiTheme="majorHAnsi" w:cstheme="majorBidi"/>
      <w:b/>
      <w:bCs/>
      <w:kern w:val="2"/>
      <w:sz w:val="32"/>
      <w:szCs w:val="28"/>
    </w:rPr>
  </w:style>
  <w:style w:type="paragraph" w:customStyle="1" w:styleId="29">
    <w:name w:val="修订2"/>
    <w:hidden/>
    <w:unhideWhenUsed/>
    <w:qFormat/>
    <w:uiPriority w:val="99"/>
    <w:rPr>
      <w:rFonts w:ascii="仿宋_GB2312" w:eastAsia="仿宋_GB2312" w:hAnsiTheme="minorHAnsi" w:cstheme="minorBidi"/>
      <w:kern w:val="2"/>
      <w:sz w:val="32"/>
      <w:szCs w:val="22"/>
      <w:lang w:val="en-US" w:eastAsia="zh-CN" w:bidi="ar-SA"/>
    </w:rPr>
  </w:style>
  <w:style w:type="character" w:customStyle="1" w:styleId="30">
    <w:name w:val="标题 5 字符"/>
    <w:basedOn w:val="16"/>
    <w:link w:val="6"/>
    <w:semiHidden/>
    <w:qFormat/>
    <w:uiPriority w:val="9"/>
    <w:rPr>
      <w:rFonts w:ascii="仿宋_GB2312" w:eastAsia="仿宋_GB2312" w:hAnsiTheme="minorHAnsi" w:cstheme="minorBidi"/>
      <w:b/>
      <w:bCs/>
      <w:kern w:val="2"/>
      <w:sz w:val="28"/>
      <w:szCs w:val="28"/>
    </w:rPr>
  </w:style>
  <w:style w:type="character" w:customStyle="1" w:styleId="31">
    <w:name w:val="批注框文本 字符"/>
    <w:basedOn w:val="16"/>
    <w:link w:val="9"/>
    <w:semiHidden/>
    <w:qFormat/>
    <w:uiPriority w:val="99"/>
    <w:rPr>
      <w:rFonts w:ascii="仿宋_GB2312" w:eastAsia="仿宋_GB2312"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1905</Words>
  <Characters>1968</Characters>
  <Lines>39</Lines>
  <Paragraphs>11</Paragraphs>
  <TotalTime>28</TotalTime>
  <ScaleCrop>false</ScaleCrop>
  <LinksUpToDate>false</LinksUpToDate>
  <CharactersWithSpaces>1971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宋益</dc:creator>
  <cp:lastModifiedBy>牛苗</cp:lastModifiedBy>
  <cp:lastPrinted>2025-03-07T08:18:00Z</cp:lastPrinted>
  <dcterms:modified xsi:type="dcterms:W3CDTF">2025-03-20T09:09:40Z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A3D980A55EE943989FF58FBCC23B3C70_13</vt:lpwstr>
  </property>
  <property fmtid="{D5CDD505-2E9C-101B-9397-08002B2CF9AE}" pid="4" name="KSOTemplateDocerSaveRecord">
    <vt:lpwstr>eyJoZGlkIjoiZGFmODM2MzFhZmY1NTkzZWIyOGExYmNjOTYzODM4YmYiLCJ1c2VySWQiOiIxNDY1NjAwNjc0In0=</vt:lpwstr>
  </property>
</Properties>
</file>